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Props2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5103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1</w:t>
      </w:r>
    </w:p>
    <w:p>
      <w:pPr>
        <w:pStyle w:val="Normal"/>
        <w:keepNext w:val="true"/>
        <w:keepLines/>
        <w:widowControl w:val="false"/>
        <w:suppressLineNumbers/>
        <w:tabs>
          <w:tab w:val="clear" w:pos="708"/>
          <w:tab w:val="left" w:pos="8280" w:leader="none"/>
        </w:tabs>
        <w:jc w:val="center"/>
        <w:rPr>
          <w:b/>
          <w:bCs/>
          <w:sz w:val="28"/>
          <w:szCs w:val="28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</w:t>
      </w:r>
      <w:r>
        <w:rPr>
          <w:sz w:val="22"/>
          <w:szCs w:val="22"/>
        </w:rPr>
        <w:t>к Техническим требованиям</w:t>
      </w:r>
    </w:p>
    <w:p>
      <w:pPr>
        <w:pStyle w:val="Normal"/>
        <w:keepNext w:val="true"/>
        <w:keepLines/>
        <w:widowControl w:val="false"/>
        <w:suppressLineNumbers/>
        <w:tabs>
          <w:tab w:val="clear" w:pos="708"/>
          <w:tab w:val="left" w:pos="8280" w:leader="none"/>
        </w:tabs>
        <w:jc w:val="center"/>
        <w:rPr>
          <w:b/>
          <w:bCs/>
          <w:sz w:val="28"/>
          <w:szCs w:val="28"/>
          <w:highlight w:val="none"/>
        </w:rPr>
      </w:pPr>
      <w:r>
        <w:rPr>
          <w:b/>
          <w:bCs/>
          <w:sz w:val="28"/>
          <w:szCs w:val="28"/>
        </w:rPr>
      </w:r>
    </w:p>
    <w:p>
      <w:pPr>
        <w:pStyle w:val="Normal"/>
        <w:rPr>
          <w:rFonts w:ascii="Liberation Serif" w:hAnsi="Liberation Serif" w:eastAsia="Liberation Serif" w:cs="Liberation Serif"/>
          <w:b/>
          <w:sz w:val="24"/>
          <w:szCs w:val="22"/>
        </w:rPr>
      </w:pPr>
      <w:r>
        <w:rPr>
          <w:rFonts w:eastAsia="Liberation Serif" w:cs="Liberation Serif" w:ascii="Liberation Serif" w:hAnsi="Liberation Serif"/>
          <w:b/>
          <w:sz w:val="24"/>
          <w:szCs w:val="22"/>
        </w:rPr>
      </w:r>
    </w:p>
    <w:p>
      <w:pPr>
        <w:pStyle w:val="Heading1"/>
        <w:spacing w:lineRule="auto" w:line="276"/>
        <w:rPr>
          <w:rFonts w:ascii="Liberation Serif" w:hAnsi="Liberation Serif" w:eastAsia="Liberation Serif" w:cs="Liberation Serif"/>
          <w:b/>
          <w:sz w:val="24"/>
          <w:szCs w:val="22"/>
        </w:rPr>
      </w:pPr>
      <w:r>
        <w:rPr>
          <w:rFonts w:eastAsia="Liberation Serif" w:cs="Liberation Serif" w:ascii="Liberation Serif" w:hAnsi="Liberation Serif"/>
          <w:b/>
          <w:sz w:val="24"/>
          <w:szCs w:val="22"/>
        </w:rPr>
        <w:t>Задание на выполнение проектных работ</w:t>
      </w:r>
    </w:p>
    <w:p>
      <w:pPr>
        <w:pStyle w:val="Heading1"/>
        <w:spacing w:lineRule="auto" w:line="276"/>
        <w:rPr>
          <w:rFonts w:ascii="Times New Roman" w:hAnsi="Times New Roman" w:eastAsia="Liberation Serif"/>
          <w:b/>
          <w:sz w:val="24"/>
          <w:szCs w:val="22"/>
        </w:rPr>
      </w:pPr>
      <w:r>
        <w:rPr>
          <w:rFonts w:eastAsia="Liberation Serif" w:ascii="Times New Roman" w:hAnsi="Times New Roman"/>
          <w:b/>
          <w:sz w:val="24"/>
          <w:szCs w:val="22"/>
        </w:rPr>
        <w:t>по реконструкции квартальных тепловых сетей пгт. Новорайчихинск</w:t>
      </w:r>
    </w:p>
    <w:p>
      <w:pPr>
        <w:pStyle w:val="Normal"/>
        <w:spacing w:lineRule="auto" w:line="276"/>
        <w:rPr>
          <w:rFonts w:ascii="Times New Roman" w:hAnsi="Times New Roman" w:eastAsia="Liberation Serif"/>
          <w:b/>
          <w:sz w:val="24"/>
          <w:szCs w:val="22"/>
        </w:rPr>
      </w:pPr>
      <w:r>
        <w:rPr>
          <w:rFonts w:eastAsia="Liberation Serif"/>
          <w:b/>
          <w:sz w:val="24"/>
          <w:szCs w:val="22"/>
        </w:rPr>
      </w:r>
    </w:p>
    <w:tbl>
      <w:tblPr>
        <w:tblW w:w="10226" w:type="dxa"/>
        <w:jc w:val="left"/>
        <w:tblInd w:w="5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4a0" w:noHBand="0" w:noVBand="1" w:firstColumn="1" w:lastRow="0" w:lastColumn="0" w:firstRow="1"/>
      </w:tblPr>
      <w:tblGrid>
        <w:gridCol w:w="730"/>
        <w:gridCol w:w="2268"/>
        <w:gridCol w:w="7228"/>
      </w:tblGrid>
      <w:tr>
        <w:trPr/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591" w:leader="none"/>
              </w:tabs>
              <w:spacing w:lineRule="auto" w:line="324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eastAsia="Liberation Serif" w:cs="Liberation Serif" w:ascii="Liberation Serif" w:hAnsi="Liberation Serif"/>
                <w:sz w:val="24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24"/>
              <w:ind w:left="142" w:right="82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sz w:val="24"/>
                <w:szCs w:val="24"/>
              </w:rPr>
              <w:t>Цель работы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42"/>
              <w:tabs>
                <w:tab w:val="clear" w:pos="708"/>
                <w:tab w:val="left" w:pos="109" w:leader="none"/>
              </w:tabs>
              <w:spacing w:lineRule="auto" w:line="276"/>
              <w:ind w:firstLine="301"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Минимизация потерь тепловой энергии на тепловых сетях.</w:t>
            </w:r>
          </w:p>
        </w:tc>
      </w:tr>
      <w:tr>
        <w:trPr/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2"/>
              </w:numPr>
              <w:spacing w:lineRule="auto" w:line="324"/>
              <w:ind w:firstLine="170" w:left="0"/>
              <w:jc w:val="center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eastAsia="Liberation Serif" w:cs="Liberation Serif" w:ascii="Liberation Serif" w:hAnsi="Liberation Serif"/>
                <w:sz w:val="24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24"/>
              <w:ind w:left="142" w:right="82"/>
              <w:rPr>
                <w:rFonts w:ascii="Times New Roman" w:hAnsi="Times New Roman" w:cs="Times New Roman"/>
                <w:sz w:val="24"/>
                <w:szCs w:val="22"/>
                <w:highlight w:val="yellow"/>
              </w:rPr>
            </w:pPr>
            <w:r>
              <w:rPr>
                <w:rFonts w:eastAsia="Times New Roman" w:cs="Times New Roman"/>
                <w:sz w:val="24"/>
                <w:szCs w:val="22"/>
              </w:rPr>
              <w:t>Состав проектных работ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482" w:leader="none"/>
              </w:tabs>
              <w:spacing w:lineRule="auto" w:line="276"/>
              <w:ind w:hanging="0" w:left="159" w:right="227"/>
              <w:jc w:val="both"/>
              <w:rPr>
                <w:sz w:val="24"/>
              </w:rPr>
            </w:pPr>
            <w:r>
              <w:rPr>
                <w:sz w:val="24"/>
              </w:rPr>
              <w:t>Разработка проектной документации:</w:t>
            </w:r>
          </w:p>
          <w:p>
            <w:pPr>
              <w:pStyle w:val="Normal"/>
              <w:tabs>
                <w:tab w:val="clear" w:pos="708"/>
                <w:tab w:val="left" w:pos="482" w:leader="none"/>
              </w:tabs>
              <w:spacing w:lineRule="auto" w:line="276"/>
              <w:ind w:firstLine="271" w:left="159" w:right="227"/>
              <w:jc w:val="both"/>
              <w:rPr>
                <w:sz w:val="24"/>
              </w:rPr>
            </w:pPr>
            <w:r>
              <w:rPr>
                <w:sz w:val="24"/>
              </w:rPr>
              <w:t>-сбор исходных данных;</w:t>
            </w:r>
          </w:p>
          <w:p>
            <w:pPr>
              <w:pStyle w:val="Normal"/>
              <w:tabs>
                <w:tab w:val="clear" w:pos="708"/>
                <w:tab w:val="left" w:pos="482" w:leader="none"/>
              </w:tabs>
              <w:spacing w:lineRule="auto" w:line="276"/>
              <w:ind w:firstLine="271" w:left="159" w:right="227"/>
              <w:jc w:val="both"/>
              <w:rPr>
                <w:sz w:val="24"/>
              </w:rPr>
            </w:pPr>
            <w:r>
              <w:rPr>
                <w:sz w:val="24"/>
              </w:rPr>
              <w:t>-проведение комплекса обследований в объёме, необходимом для разработки проектной документации;</w:t>
            </w:r>
          </w:p>
          <w:p>
            <w:pPr>
              <w:pStyle w:val="Normal"/>
              <w:tabs>
                <w:tab w:val="clear" w:pos="708"/>
                <w:tab w:val="left" w:pos="482" w:leader="none"/>
              </w:tabs>
              <w:spacing w:lineRule="auto" w:line="276"/>
              <w:ind w:firstLine="271" w:left="159" w:right="227"/>
              <w:jc w:val="both"/>
              <w:rPr>
                <w:sz w:val="24"/>
              </w:rPr>
            </w:pPr>
            <w:r>
              <w:rPr>
                <w:sz w:val="24"/>
              </w:rPr>
              <w:t>- разработка проектной и сметной документации;</w:t>
            </w:r>
          </w:p>
          <w:p>
            <w:pPr>
              <w:pStyle w:val="Normal"/>
              <w:tabs>
                <w:tab w:val="clear" w:pos="708"/>
                <w:tab w:val="left" w:pos="482" w:leader="none"/>
              </w:tabs>
              <w:spacing w:lineRule="auto" w:line="276"/>
              <w:ind w:firstLine="271" w:left="159" w:right="227"/>
              <w:jc w:val="both"/>
              <w:rPr>
                <w:sz w:val="24"/>
              </w:rPr>
            </w:pPr>
            <w:r>
              <w:rPr>
                <w:sz w:val="24"/>
              </w:rPr>
              <w:t>- согласование проектной документации с собственниками пересекаемых коммуникаций (при необходимости);</w:t>
            </w:r>
          </w:p>
          <w:p>
            <w:pPr>
              <w:pStyle w:val="Normal"/>
              <w:tabs>
                <w:tab w:val="clear" w:pos="708"/>
                <w:tab w:val="left" w:pos="482" w:leader="none"/>
              </w:tabs>
              <w:spacing w:lineRule="auto" w:line="276"/>
              <w:ind w:firstLine="271" w:left="159" w:right="227"/>
              <w:jc w:val="both"/>
              <w:rPr>
                <w:sz w:val="24"/>
              </w:rPr>
            </w:pPr>
            <w:r>
              <w:rPr>
                <w:sz w:val="24"/>
              </w:rPr>
              <w:t>При необходимости Подрядчик выполняет соответствующие корректировки проектной документации.</w:t>
            </w:r>
          </w:p>
        </w:tc>
      </w:tr>
      <w:tr>
        <w:trPr/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2"/>
              </w:numPr>
              <w:spacing w:lineRule="auto" w:line="324"/>
              <w:ind w:firstLine="170" w:left="0"/>
              <w:jc w:val="center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eastAsia="Liberation Serif" w:cs="Liberation Serif" w:ascii="Liberation Serif" w:hAnsi="Liberation Serif"/>
                <w:sz w:val="24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24"/>
              <w:ind w:left="142" w:right="82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eastAsia="Times New Roman" w:cs="Times New Roman"/>
                <w:sz w:val="24"/>
                <w:szCs w:val="22"/>
              </w:rPr>
              <w:t>Район строительства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284" w:left="159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  <w:t>Амурская область, пгт. Прогресс земельные участки с кадастровым номером 28:04:000000:3882</w:t>
            </w:r>
          </w:p>
        </w:tc>
      </w:tr>
      <w:tr>
        <w:trPr/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2"/>
              </w:numPr>
              <w:spacing w:lineRule="auto" w:line="324"/>
              <w:ind w:firstLine="170" w:left="0"/>
              <w:jc w:val="center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eastAsia="Liberation Serif" w:cs="Liberation Serif" w:ascii="Liberation Serif" w:hAnsi="Liberation Serif"/>
                <w:sz w:val="24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left="230" w:right="408"/>
              <w:rPr/>
            </w:pPr>
            <w:r>
              <w:rPr>
                <w:sz w:val="24"/>
              </w:rPr>
              <w:t>Основные требования к применяемым материалам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673" w:leader="none"/>
              </w:tabs>
              <w:spacing w:lineRule="auto" w:line="276"/>
              <w:ind w:firstLine="284" w:left="159" w:right="137"/>
              <w:jc w:val="both"/>
              <w:rPr/>
            </w:pPr>
            <w:r>
              <w:rPr>
                <w:rStyle w:val="23"/>
                <w:rFonts w:eastAsia="Liberation Serif"/>
                <w:color w:val="000000"/>
              </w:rPr>
              <w:t>1. Применяемые в проектных решениях изделия и материалы должны соответствовать государственным стандартам, иметь соответствующие сертификаты (в том числе на продукцию, подлежащую обязательной сертификации), технические паспорта и другие документы, удостоверяющие их качество и применимость для данных условий эксплуатации.</w:t>
            </w:r>
          </w:p>
          <w:p>
            <w:pPr>
              <w:pStyle w:val="Normal"/>
              <w:tabs>
                <w:tab w:val="clear" w:pos="708"/>
                <w:tab w:val="left" w:pos="673" w:leader="none"/>
              </w:tabs>
              <w:spacing w:lineRule="auto" w:line="276"/>
              <w:ind w:firstLine="284" w:left="159" w:right="137"/>
              <w:jc w:val="both"/>
              <w:rPr/>
            </w:pPr>
            <w:r>
              <w:rPr>
                <w:rStyle w:val="23"/>
                <w:rFonts w:eastAsia="Liberation Serif"/>
                <w:color w:val="000000"/>
              </w:rPr>
              <w:t>2. При разработке проектной и сметной документации рекомендуется предусматривать материалы и изделия Российского производства.</w:t>
            </w:r>
          </w:p>
          <w:p>
            <w:pPr>
              <w:pStyle w:val="Normal"/>
              <w:tabs>
                <w:tab w:val="clear" w:pos="708"/>
                <w:tab w:val="left" w:pos="673" w:leader="none"/>
              </w:tabs>
              <w:spacing w:lineRule="auto" w:line="276"/>
              <w:ind w:firstLine="284" w:left="159" w:right="137"/>
              <w:jc w:val="both"/>
              <w:rPr/>
            </w:pPr>
            <w:r>
              <w:rPr>
                <w:rStyle w:val="23"/>
                <w:rFonts w:eastAsia="Liberation Serif"/>
                <w:color w:val="000000"/>
              </w:rPr>
              <w:t>3.</w:t>
              <w:tab/>
              <w:t>Тепловая сеть:</w:t>
            </w:r>
          </w:p>
          <w:p>
            <w:pPr>
              <w:pStyle w:val="Normal"/>
              <w:tabs>
                <w:tab w:val="clear" w:pos="708"/>
                <w:tab w:val="left" w:pos="673" w:leader="none"/>
              </w:tabs>
              <w:spacing w:lineRule="auto" w:line="276"/>
              <w:ind w:firstLine="284" w:left="159" w:right="137"/>
              <w:jc w:val="both"/>
              <w:rPr/>
            </w:pPr>
            <w:r>
              <w:rPr>
                <w:rStyle w:val="23"/>
                <w:rFonts w:eastAsia="Liberation Serif"/>
                <w:color w:val="000000"/>
              </w:rPr>
              <w:t>-</w:t>
              <w:tab/>
              <w:t>в качестве арматуры принять – стальную запорную арматуру на Ру 16 кг/см2;</w:t>
            </w:r>
          </w:p>
          <w:p>
            <w:pPr>
              <w:pStyle w:val="Normal"/>
              <w:tabs>
                <w:tab w:val="clear" w:pos="708"/>
                <w:tab w:val="left" w:pos="673" w:leader="none"/>
              </w:tabs>
              <w:spacing w:lineRule="auto" w:line="276"/>
              <w:ind w:firstLine="284" w:left="159" w:right="137"/>
              <w:jc w:val="both"/>
              <w:rPr/>
            </w:pPr>
            <w:r>
              <w:rPr>
                <w:rStyle w:val="23"/>
                <w:rFonts w:eastAsia="Liberation Serif"/>
                <w:color w:val="000000"/>
              </w:rPr>
              <w:t>-</w:t>
              <w:tab/>
              <w:t xml:space="preserve">в качестве теплоизоляционного материала </w:t>
            </w:r>
            <w:r>
              <w:rPr>
                <w:rStyle w:val="23"/>
                <w:rFonts w:eastAsia="Liberation Serif"/>
                <w:b/>
                <w:bCs/>
                <w:color w:val="000000"/>
              </w:rPr>
              <w:t>для Участка №1-</w:t>
            </w:r>
            <w:r>
              <w:rPr>
                <w:rStyle w:val="23"/>
                <w:rFonts w:eastAsia="Liberation Serif"/>
                <w:b w:val="false"/>
                <w:bCs w:val="false"/>
                <w:color w:val="000000"/>
              </w:rPr>
              <w:t xml:space="preserve">мат прошивной МП-75, </w:t>
            </w:r>
            <w:r>
              <w:rPr>
                <w:rStyle w:val="23"/>
                <w:rFonts w:eastAsia="Liberation Serif"/>
                <w:b/>
                <w:bCs/>
                <w:color w:val="000000"/>
              </w:rPr>
              <w:t>для Участка №2</w:t>
            </w:r>
            <w:r>
              <w:rPr>
                <w:rStyle w:val="23"/>
                <w:rFonts w:eastAsia="Liberation Serif"/>
                <w:b w:val="false"/>
                <w:bCs w:val="false"/>
                <w:color w:val="000000"/>
              </w:rPr>
              <w:t xml:space="preserve"> -принять скорлупы пенополиуретановые с покрытием сталью оцинкованной 0,55 мм.</w:t>
            </w:r>
          </w:p>
          <w:p>
            <w:pPr>
              <w:pStyle w:val="Normal"/>
              <w:tabs>
                <w:tab w:val="clear" w:pos="708"/>
                <w:tab w:val="left" w:pos="673" w:leader="none"/>
              </w:tabs>
              <w:spacing w:lineRule="auto" w:line="276"/>
              <w:ind w:firstLine="284" w:left="159" w:right="137"/>
              <w:jc w:val="both"/>
              <w:rPr/>
            </w:pPr>
            <w:r>
              <w:rPr>
                <w:rStyle w:val="23"/>
                <w:rFonts w:eastAsia="Liberation Serif"/>
                <w:color w:val="000000"/>
              </w:rPr>
              <w:t>Теплоизоляционные материалы, изделия и конструкции должны соответствовать СП 61.13330.2012. «Свод правил. Тепловая изоляция оборудования и трубопроводов. Актуализированная редакция СНиП 41 -03-2003».</w:t>
            </w:r>
          </w:p>
          <w:p>
            <w:pPr>
              <w:pStyle w:val="Normal"/>
              <w:tabs>
                <w:tab w:val="clear" w:pos="708"/>
                <w:tab w:val="left" w:pos="673" w:leader="none"/>
              </w:tabs>
              <w:spacing w:lineRule="auto" w:line="276"/>
              <w:ind w:firstLine="284" w:left="159" w:right="137"/>
              <w:jc w:val="both"/>
              <w:rPr/>
            </w:pPr>
            <w:r>
              <w:rPr>
                <w:rStyle w:val="23"/>
                <w:rFonts w:eastAsia="Liberation Serif"/>
                <w:color w:val="000000"/>
              </w:rPr>
              <w:t>В качестве антикоррозийной изоляции трубопроводов и металлоконструкций принять грунтовку  ГФ-021 (1 слой)  и  алюминиевый  лак  БТ-177 (2 слоя).</w:t>
            </w:r>
          </w:p>
          <w:p>
            <w:pPr>
              <w:pStyle w:val="Normal"/>
              <w:tabs>
                <w:tab w:val="clear" w:pos="708"/>
                <w:tab w:val="left" w:pos="673" w:leader="none"/>
              </w:tabs>
              <w:spacing w:lineRule="auto" w:line="276"/>
              <w:ind w:firstLine="284" w:left="159" w:right="137"/>
              <w:jc w:val="both"/>
              <w:rPr/>
            </w:pPr>
            <w:r>
              <w:rPr>
                <w:rStyle w:val="23"/>
                <w:rFonts w:eastAsia="Times New Roman" w:cs="Times New Roman"/>
                <w:color w:val="000000"/>
                <w:sz w:val="24"/>
                <w:szCs w:val="24"/>
              </w:rPr>
              <w:t xml:space="preserve">Оборудование и материально-технические ресурсы, применяемые в проекте должны соответствовать требованиям </w:t>
            </w:r>
            <w:r>
              <w:rPr>
                <w:rStyle w:val="23"/>
                <w:rFonts w:eastAsia="Times New Roman" w:cs="Times New Roman"/>
                <w:color w:val="000000"/>
                <w:sz w:val="24"/>
                <w:szCs w:val="24"/>
                <w:highlight w:val="white"/>
                <w:u w:val="none"/>
              </w:rPr>
              <w:t>Постановления Правительства РФ от 23.12.2024 N 1875 (в актуальной редакции на момент проектирования) "О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лиц", быть согласованы с заказчиком и иметь необходимые сертификаты (соответствия, качества и т.д.).</w:t>
            </w:r>
          </w:p>
        </w:tc>
      </w:tr>
      <w:tr>
        <w:trPr/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numPr>
                <w:ilvl w:val="0"/>
                <w:numId w:val="0"/>
              </w:numPr>
              <w:spacing w:lineRule="auto" w:line="324" w:before="0" w:after="0"/>
              <w:ind w:hanging="0" w:left="227" w:right="170"/>
              <w:jc w:val="center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eastAsia="Liberation Serif" w:cs="Liberation Serif" w:ascii="Liberation Serif" w:hAnsi="Liberation Serif"/>
                <w:sz w:val="24"/>
                <w:szCs w:val="22"/>
              </w:rPr>
              <w:t>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24"/>
              <w:ind w:left="142" w:right="82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eastAsia="Times New Roman" w:cs="Times New Roman"/>
                <w:sz w:val="24"/>
                <w:szCs w:val="22"/>
              </w:rPr>
              <w:t>Требования к вариантной разработке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24"/>
              <w:ind w:left="142" w:right="158"/>
              <w:jc w:val="both"/>
              <w:rPr>
                <w:color w:val="000000"/>
              </w:rPr>
            </w:pPr>
            <w:r>
              <w:rPr>
                <w:rFonts w:eastAsia="Liberation Serif"/>
                <w:color w:val="000000"/>
                <w:sz w:val="24"/>
                <w:szCs w:val="24"/>
              </w:rPr>
              <w:t>Не требуется</w:t>
            </w:r>
          </w:p>
        </w:tc>
      </w:tr>
      <w:tr>
        <w:trPr>
          <w:trHeight w:val="1125" w:hRule="atLeast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3"/>
              </w:numPr>
              <w:spacing w:lineRule="auto" w:line="324"/>
              <w:ind w:firstLine="170" w:left="0"/>
              <w:jc w:val="center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eastAsia="Liberation Serif" w:cs="Liberation Serif" w:ascii="Liberation Serif" w:hAnsi="Liberation Serif"/>
                <w:sz w:val="24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24"/>
              <w:ind w:left="142" w:right="82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eastAsia="Times New Roman" w:cs="Times New Roman"/>
                <w:sz w:val="24"/>
                <w:szCs w:val="22"/>
              </w:rPr>
              <w:t>Исходные данные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959" w:leader="none"/>
              </w:tabs>
              <w:suppressAutoHyphens w:val="false"/>
              <w:bidi w:val="0"/>
              <w:spacing w:lineRule="auto" w:line="276" w:before="0" w:after="0"/>
              <w:ind w:firstLine="454" w:left="170" w:right="170"/>
              <w:jc w:val="left"/>
              <w:rPr>
                <w:rFonts w:eastAsia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>Основные характеристики реконструируемых участков тепловой сети:</w:t>
            </w:r>
          </w:p>
          <w:p>
            <w:pPr>
              <w:pStyle w:val="Normal"/>
              <w:tabs>
                <w:tab w:val="clear" w:pos="708"/>
                <w:tab w:val="left" w:pos="619" w:leader="none"/>
                <w:tab w:val="left" w:pos="959" w:leader="none"/>
              </w:tabs>
              <w:spacing w:lineRule="auto" w:line="276"/>
              <w:ind w:hanging="0" w:left="142" w:right="158"/>
              <w:jc w:val="left"/>
              <w:rPr>
                <w:b/>
                <w:bCs/>
              </w:rPr>
            </w:pPr>
            <w:r>
              <w:rPr>
                <w:rFonts w:eastAsia="Liberation Serif"/>
                <w:b/>
                <w:bCs/>
                <w:sz w:val="24"/>
                <w:szCs w:val="24"/>
              </w:rPr>
              <w:t>1. Участок №1 (технические характеристики даны ориентировочные, окончательные значения предусмотреть при проектировании).</w:t>
            </w:r>
          </w:p>
          <w:p>
            <w:pPr>
              <w:pStyle w:val="Normal"/>
              <w:tabs>
                <w:tab w:val="clear" w:pos="708"/>
                <w:tab w:val="left" w:pos="959" w:leader="none"/>
              </w:tabs>
              <w:spacing w:lineRule="auto" w:line="276"/>
              <w:ind w:hanging="0" w:left="142" w:right="158"/>
              <w:jc w:val="left"/>
              <w:rPr>
                <w:rFonts w:eastAsia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>1.1.</w:t>
            </w:r>
            <w:r>
              <w:rPr>
                <w:rFonts w:eastAsia="Liberation Serif"/>
                <w:b w:val="false"/>
                <w:bCs w:val="false"/>
                <w:color w:val="C9211E"/>
                <w:sz w:val="24"/>
                <w:szCs w:val="24"/>
              </w:rPr>
              <w:tab/>
            </w:r>
            <w:r>
              <w:rPr>
                <w:rFonts w:eastAsia="Liberation Serif"/>
                <w:b w:val="false"/>
                <w:bCs w:val="false"/>
                <w:color w:val="000000"/>
                <w:sz w:val="24"/>
                <w:szCs w:val="24"/>
              </w:rPr>
              <w:t>Участок от ТУ59 до участка за проезжей частью ул. Шоссейная, протяженность трубопровода в однотрубном исчислении – 0,276 км;</w:t>
            </w:r>
          </w:p>
          <w:p>
            <w:pPr>
              <w:pStyle w:val="Normal"/>
              <w:tabs>
                <w:tab w:val="clear" w:pos="708"/>
                <w:tab w:val="left" w:pos="959" w:leader="none"/>
              </w:tabs>
              <w:spacing w:lineRule="auto" w:line="276"/>
              <w:ind w:hanging="0" w:left="142" w:right="158"/>
              <w:jc w:val="left"/>
              <w:rPr>
                <w:rFonts w:eastAsia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>1.2.</w:t>
              <w:tab/>
              <w:t>Наружный диаметр трубопровода – 76 мм;</w:t>
            </w:r>
          </w:p>
          <w:p>
            <w:pPr>
              <w:pStyle w:val="Normal"/>
              <w:tabs>
                <w:tab w:val="clear" w:pos="708"/>
                <w:tab w:val="left" w:pos="959" w:leader="none"/>
              </w:tabs>
              <w:spacing w:lineRule="auto" w:line="276"/>
              <w:ind w:hanging="0" w:left="142" w:right="158"/>
              <w:jc w:val="left"/>
              <w:rPr>
                <w:rFonts w:eastAsia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>1.3.</w:t>
              <w:tab/>
              <w:t>Толщина стенки трубопровода – 3,5мм;</w:t>
            </w:r>
          </w:p>
          <w:p>
            <w:pPr>
              <w:pStyle w:val="Normal"/>
              <w:tabs>
                <w:tab w:val="clear" w:pos="708"/>
                <w:tab w:val="left" w:pos="959" w:leader="none"/>
              </w:tabs>
              <w:spacing w:lineRule="auto" w:line="276"/>
              <w:ind w:hanging="0" w:left="142" w:right="158"/>
              <w:jc w:val="left"/>
              <w:rPr>
                <w:rFonts w:eastAsia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>1.4.</w:t>
              <w:tab/>
              <w:t>Материал трубопровода – Ст 3;</w:t>
            </w:r>
          </w:p>
          <w:p>
            <w:pPr>
              <w:pStyle w:val="Normal"/>
              <w:tabs>
                <w:tab w:val="clear" w:pos="708"/>
                <w:tab w:val="left" w:pos="959" w:leader="none"/>
              </w:tabs>
              <w:spacing w:lineRule="auto" w:line="276"/>
              <w:ind w:hanging="0" w:left="142" w:right="158"/>
              <w:jc w:val="left"/>
              <w:rPr>
                <w:rFonts w:eastAsia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>1.5.</w:t>
              <w:tab/>
              <w:t>Тип прокладки – подземная  в  надземную;</w:t>
            </w:r>
          </w:p>
          <w:p>
            <w:pPr>
              <w:pStyle w:val="Normal"/>
              <w:tabs>
                <w:tab w:val="clear" w:pos="708"/>
                <w:tab w:val="left" w:pos="959" w:leader="none"/>
              </w:tabs>
              <w:spacing w:lineRule="auto" w:line="276"/>
              <w:ind w:hanging="0" w:left="142" w:right="158"/>
              <w:jc w:val="left"/>
              <w:rPr>
                <w:rFonts w:eastAsia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>1.6.</w:t>
              <w:tab/>
              <w:t>Тип тепловой изоляции трубопроводов -  МП-75;</w:t>
            </w:r>
          </w:p>
          <w:p>
            <w:pPr>
              <w:pStyle w:val="Normal"/>
              <w:tabs>
                <w:tab w:val="clear" w:pos="708"/>
                <w:tab w:val="left" w:pos="959" w:leader="none"/>
              </w:tabs>
              <w:spacing w:lineRule="auto" w:line="276"/>
              <w:ind w:hanging="0" w:left="142" w:right="158"/>
              <w:jc w:val="left"/>
              <w:rPr>
                <w:rFonts w:eastAsia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>1.7.</w:t>
              <w:tab/>
              <w:t xml:space="preserve"> Тип покровного слоя – два слоя стеклоткань;</w:t>
            </w:r>
          </w:p>
          <w:p>
            <w:pPr>
              <w:pStyle w:val="Normal"/>
              <w:tabs>
                <w:tab w:val="clear" w:pos="708"/>
                <w:tab w:val="left" w:pos="959" w:leader="none"/>
              </w:tabs>
              <w:spacing w:lineRule="auto" w:line="276"/>
              <w:ind w:hanging="0" w:left="142" w:right="158"/>
              <w:jc w:val="left"/>
              <w:rPr>
                <w:rFonts w:eastAsia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>1.8.</w:t>
              <w:tab/>
              <w:t xml:space="preserve"> Температурный график работы тепловых сетей 85/65 </w:t>
            </w:r>
            <w:r>
              <w:rPr>
                <w:rFonts w:eastAsia="Liberation Serif"/>
                <w:b w:val="false"/>
                <w:bCs w:val="false"/>
                <w:sz w:val="24"/>
                <w:szCs w:val="24"/>
                <w:vertAlign w:val="superscript"/>
              </w:rPr>
              <w:t>0</w:t>
            </w: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>С;</w:t>
            </w:r>
          </w:p>
          <w:p>
            <w:pPr>
              <w:pStyle w:val="Normal"/>
              <w:tabs>
                <w:tab w:val="clear" w:pos="708"/>
                <w:tab w:val="left" w:pos="959" w:leader="none"/>
              </w:tabs>
              <w:spacing w:lineRule="auto" w:line="276"/>
              <w:ind w:hanging="0" w:left="142" w:right="158"/>
              <w:jc w:val="left"/>
              <w:rPr>
                <w:rFonts w:eastAsia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>1.9.</w:t>
              <w:tab/>
              <w:t xml:space="preserve"> Вид теплоносителя – сетевая вода;</w:t>
            </w:r>
          </w:p>
          <w:p>
            <w:pPr>
              <w:pStyle w:val="Normal"/>
              <w:tabs>
                <w:tab w:val="clear" w:pos="708"/>
                <w:tab w:val="left" w:pos="959" w:leader="none"/>
              </w:tabs>
              <w:spacing w:lineRule="auto" w:line="276"/>
              <w:ind w:hanging="0" w:left="142" w:right="158"/>
              <w:jc w:val="left"/>
              <w:rPr>
                <w:rFonts w:eastAsia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>1.10.</w:t>
              <w:tab/>
              <w:t xml:space="preserve"> Максимальное рабочее давление теплоносителя (избыточное):</w:t>
            </w:r>
          </w:p>
          <w:p>
            <w:pPr>
              <w:pStyle w:val="Normal"/>
              <w:tabs>
                <w:tab w:val="clear" w:pos="708"/>
                <w:tab w:val="left" w:pos="959" w:leader="none"/>
              </w:tabs>
              <w:spacing w:lineRule="auto" w:line="276"/>
              <w:ind w:hanging="0" w:left="142" w:right="158"/>
              <w:jc w:val="left"/>
              <w:rPr>
                <w:rFonts w:eastAsia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></w:t>
            </w: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ab/>
              <w:t>в подающем трубопроводе – 6,2 кгс/см2;</w:t>
            </w:r>
          </w:p>
          <w:p>
            <w:pPr>
              <w:pStyle w:val="Normal"/>
              <w:tabs>
                <w:tab w:val="clear" w:pos="708"/>
                <w:tab w:val="left" w:pos="959" w:leader="none"/>
              </w:tabs>
              <w:spacing w:lineRule="auto" w:line="276"/>
              <w:ind w:hanging="0" w:left="142" w:right="158"/>
              <w:jc w:val="left"/>
              <w:rPr>
                <w:rFonts w:eastAsia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></w:t>
            </w: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ab/>
              <w:t>в обратном трубопроводе – 3,7 кгс/см2.</w:t>
            </w:r>
          </w:p>
          <w:p>
            <w:pPr>
              <w:pStyle w:val="Normal"/>
              <w:tabs>
                <w:tab w:val="clear" w:pos="708"/>
                <w:tab w:val="left" w:pos="959" w:leader="none"/>
              </w:tabs>
              <w:spacing w:lineRule="auto" w:line="276"/>
              <w:ind w:hanging="0" w:left="142" w:right="158"/>
              <w:jc w:val="left"/>
              <w:rPr>
                <w:rFonts w:eastAsia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>1.11.</w:t>
              <w:tab/>
              <w:t>Режим работы ТС - круглосуточный, сезонный.</w:t>
            </w:r>
          </w:p>
          <w:p>
            <w:pPr>
              <w:pStyle w:val="Normal"/>
              <w:tabs>
                <w:tab w:val="clear" w:pos="708"/>
                <w:tab w:val="left" w:pos="959" w:leader="none"/>
              </w:tabs>
              <w:spacing w:lineRule="auto" w:line="276"/>
              <w:ind w:hanging="0" w:left="142" w:right="158"/>
              <w:jc w:val="left"/>
              <w:rPr>
                <w:rFonts w:eastAsia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>1.12.</w:t>
              <w:tab/>
              <w:t>Источник теплоснабжения – котельная «Агромех».</w:t>
            </w:r>
          </w:p>
          <w:p>
            <w:pPr>
              <w:pStyle w:val="Normal"/>
              <w:tabs>
                <w:tab w:val="clear" w:pos="708"/>
                <w:tab w:val="left" w:pos="959" w:leader="none"/>
              </w:tabs>
              <w:spacing w:lineRule="auto" w:line="276"/>
              <w:ind w:hanging="0" w:left="142" w:right="158"/>
              <w:jc w:val="left"/>
              <w:rPr>
                <w:rFonts w:eastAsia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>1.13.</w:t>
              <w:tab/>
              <w:t>Схема трассировки теплотрассы предоставлена в Приложении № 1.1  к  настоящему заданию на проектирование.</w:t>
            </w:r>
          </w:p>
          <w:p>
            <w:pPr>
              <w:pStyle w:val="Normal"/>
              <w:tabs>
                <w:tab w:val="clear" w:pos="708"/>
                <w:tab w:val="left" w:pos="959" w:leader="none"/>
              </w:tabs>
              <w:spacing w:lineRule="auto" w:line="276"/>
              <w:ind w:hanging="0" w:left="142" w:right="158"/>
              <w:jc w:val="left"/>
              <w:rPr>
                <w:rFonts w:eastAsia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</w:r>
          </w:p>
          <w:p>
            <w:pPr>
              <w:pStyle w:val="Normal"/>
              <w:tabs>
                <w:tab w:val="clear" w:pos="708"/>
                <w:tab w:val="left" w:pos="959" w:leader="none"/>
              </w:tabs>
              <w:spacing w:lineRule="auto" w:line="276"/>
              <w:ind w:hanging="0" w:left="142" w:right="158"/>
              <w:jc w:val="left"/>
              <w:rPr>
                <w:b/>
                <w:bCs/>
              </w:rPr>
            </w:pPr>
            <w:r>
              <w:rPr>
                <w:rFonts w:eastAsia="Liberation Serif"/>
                <w:b/>
                <w:bCs/>
                <w:sz w:val="24"/>
                <w:szCs w:val="24"/>
              </w:rPr>
              <w:t>2. Участок №2 (технические характеристики даны ориентировочные, окончательные значения предусмотреть при проектировании).</w:t>
            </w:r>
          </w:p>
          <w:p>
            <w:pPr>
              <w:pStyle w:val="Normal"/>
              <w:tabs>
                <w:tab w:val="clear" w:pos="708"/>
                <w:tab w:val="left" w:pos="959" w:leader="none"/>
              </w:tabs>
              <w:spacing w:lineRule="auto" w:line="276"/>
              <w:ind w:hanging="0" w:left="142" w:right="158"/>
              <w:jc w:val="left"/>
              <w:rPr>
                <w:rFonts w:eastAsia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>2.1.</w:t>
              <w:tab/>
              <w:t>Участок от ТУ1 «Механический завод» до компенсатора ТУ2, протяженность трубопровода в однотрубном исчислении – 0,184 км;</w:t>
            </w:r>
          </w:p>
          <w:p>
            <w:pPr>
              <w:pStyle w:val="Normal"/>
              <w:tabs>
                <w:tab w:val="clear" w:pos="708"/>
                <w:tab w:val="left" w:pos="959" w:leader="none"/>
              </w:tabs>
              <w:spacing w:lineRule="auto" w:line="276"/>
              <w:ind w:hanging="0" w:left="142" w:right="158"/>
              <w:jc w:val="left"/>
              <w:rPr>
                <w:rFonts w:eastAsia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>2.2.</w:t>
              <w:tab/>
              <w:t>Наружный диаметр трубопровода – 159 мм;</w:t>
            </w:r>
          </w:p>
          <w:p>
            <w:pPr>
              <w:pStyle w:val="Normal"/>
              <w:tabs>
                <w:tab w:val="clear" w:pos="708"/>
                <w:tab w:val="left" w:pos="959" w:leader="none"/>
              </w:tabs>
              <w:spacing w:lineRule="auto" w:line="276"/>
              <w:ind w:hanging="0" w:left="142" w:right="158"/>
              <w:jc w:val="left"/>
              <w:rPr>
                <w:rFonts w:eastAsia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>2.3.</w:t>
              <w:tab/>
              <w:t>Толщина стенки трубопровода – 4,5мм;</w:t>
            </w:r>
          </w:p>
          <w:p>
            <w:pPr>
              <w:pStyle w:val="Normal"/>
              <w:tabs>
                <w:tab w:val="clear" w:pos="708"/>
                <w:tab w:val="left" w:pos="959" w:leader="none"/>
              </w:tabs>
              <w:spacing w:lineRule="auto" w:line="276"/>
              <w:ind w:hanging="0" w:left="142" w:right="158"/>
              <w:jc w:val="left"/>
              <w:rPr>
                <w:rFonts w:eastAsia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>2.4.</w:t>
              <w:tab/>
              <w:t>Материал трубопровода – Ст 3;</w:t>
            </w:r>
          </w:p>
          <w:p>
            <w:pPr>
              <w:pStyle w:val="Normal"/>
              <w:tabs>
                <w:tab w:val="clear" w:pos="708"/>
                <w:tab w:val="left" w:pos="959" w:leader="none"/>
              </w:tabs>
              <w:spacing w:lineRule="auto" w:line="276"/>
              <w:ind w:hanging="0" w:left="142" w:right="158"/>
              <w:jc w:val="left"/>
              <w:rPr>
                <w:rFonts w:eastAsia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>2.5.</w:t>
              <w:tab/>
              <w:t>Тип прокладки – надземная;</w:t>
            </w:r>
          </w:p>
          <w:p>
            <w:pPr>
              <w:pStyle w:val="Normal"/>
              <w:tabs>
                <w:tab w:val="clear" w:pos="708"/>
                <w:tab w:val="left" w:pos="959" w:leader="none"/>
              </w:tabs>
              <w:spacing w:lineRule="auto" w:line="276"/>
              <w:ind w:hanging="0" w:left="142" w:right="158"/>
              <w:jc w:val="left"/>
              <w:rPr>
                <w:rFonts w:eastAsia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>2.6.</w:t>
              <w:tab/>
              <w:t>Тип тепловой изоляции трубопроводов -  скорлупа ППУ;</w:t>
            </w:r>
          </w:p>
          <w:p>
            <w:pPr>
              <w:pStyle w:val="Normal"/>
              <w:tabs>
                <w:tab w:val="clear" w:pos="708"/>
                <w:tab w:val="left" w:pos="959" w:leader="none"/>
              </w:tabs>
              <w:spacing w:lineRule="auto" w:line="276"/>
              <w:ind w:hanging="0" w:left="142" w:right="158"/>
              <w:jc w:val="left"/>
              <w:rPr>
                <w:rFonts w:eastAsia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>2.7.</w:t>
              <w:tab/>
              <w:t xml:space="preserve"> Тип покровного слоя – оцинкованная сталь, толщиной 0,55 мм:</w:t>
            </w:r>
          </w:p>
          <w:p>
            <w:pPr>
              <w:pStyle w:val="Normal"/>
              <w:tabs>
                <w:tab w:val="clear" w:pos="708"/>
                <w:tab w:val="left" w:pos="959" w:leader="none"/>
              </w:tabs>
              <w:spacing w:lineRule="auto" w:line="276"/>
              <w:ind w:hanging="0" w:left="142" w:right="158"/>
              <w:jc w:val="left"/>
              <w:rPr>
                <w:rFonts w:eastAsia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>2.8.</w:t>
              <w:tab/>
              <w:t xml:space="preserve"> Температурный график работы тепловых сетей 85/65 </w:t>
            </w:r>
            <w:r>
              <w:rPr>
                <w:rFonts w:eastAsia="Liberation Serif"/>
                <w:b w:val="false"/>
                <w:bCs w:val="false"/>
                <w:sz w:val="24"/>
                <w:szCs w:val="24"/>
                <w:vertAlign w:val="superscript"/>
              </w:rPr>
              <w:t>0</w:t>
            </w: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>С;</w:t>
            </w:r>
          </w:p>
          <w:p>
            <w:pPr>
              <w:pStyle w:val="Normal"/>
              <w:tabs>
                <w:tab w:val="clear" w:pos="708"/>
                <w:tab w:val="left" w:pos="959" w:leader="none"/>
              </w:tabs>
              <w:spacing w:lineRule="auto" w:line="276"/>
              <w:ind w:hanging="0" w:left="142" w:right="158"/>
              <w:jc w:val="left"/>
              <w:rPr>
                <w:rFonts w:eastAsia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>2.9.</w:t>
              <w:tab/>
              <w:t xml:space="preserve"> Вид теплоносителя – сетевая вода;</w:t>
            </w:r>
          </w:p>
          <w:p>
            <w:pPr>
              <w:pStyle w:val="Normal"/>
              <w:tabs>
                <w:tab w:val="clear" w:pos="708"/>
                <w:tab w:val="left" w:pos="959" w:leader="none"/>
              </w:tabs>
              <w:spacing w:lineRule="auto" w:line="276"/>
              <w:ind w:hanging="0" w:left="142" w:right="158"/>
              <w:jc w:val="left"/>
              <w:rPr>
                <w:rFonts w:eastAsia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>2.10.</w:t>
              <w:tab/>
              <w:t xml:space="preserve"> Максимальное рабочее давление теплоносителя (избыточное):</w:t>
            </w:r>
          </w:p>
          <w:p>
            <w:pPr>
              <w:pStyle w:val="Normal"/>
              <w:tabs>
                <w:tab w:val="clear" w:pos="708"/>
                <w:tab w:val="left" w:pos="959" w:leader="none"/>
              </w:tabs>
              <w:spacing w:lineRule="auto" w:line="276"/>
              <w:ind w:hanging="0" w:left="142" w:right="158"/>
              <w:jc w:val="left"/>
              <w:rPr>
                <w:rFonts w:eastAsia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></w:t>
            </w: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ab/>
              <w:t>в подающем трубопроводе – 6,2 кгс/см2;</w:t>
            </w:r>
          </w:p>
          <w:p>
            <w:pPr>
              <w:pStyle w:val="Normal"/>
              <w:tabs>
                <w:tab w:val="clear" w:pos="708"/>
                <w:tab w:val="left" w:pos="959" w:leader="none"/>
              </w:tabs>
              <w:spacing w:lineRule="auto" w:line="276"/>
              <w:ind w:hanging="0" w:left="142" w:right="158"/>
              <w:jc w:val="left"/>
              <w:rPr>
                <w:rFonts w:eastAsia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></w:t>
            </w: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ab/>
              <w:t>в обратном трубопроводе – 3,7 кгс/см2.</w:t>
            </w:r>
          </w:p>
          <w:p>
            <w:pPr>
              <w:pStyle w:val="Normal"/>
              <w:tabs>
                <w:tab w:val="clear" w:pos="708"/>
                <w:tab w:val="left" w:pos="959" w:leader="none"/>
              </w:tabs>
              <w:spacing w:lineRule="auto" w:line="276"/>
              <w:ind w:hanging="0" w:left="142" w:right="158"/>
              <w:jc w:val="left"/>
              <w:rPr>
                <w:rFonts w:eastAsia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>2.11.</w:t>
              <w:tab/>
              <w:t>Режим работы ТС - круглосуточный, сезонный.</w:t>
            </w:r>
          </w:p>
          <w:p>
            <w:pPr>
              <w:pStyle w:val="Normal"/>
              <w:tabs>
                <w:tab w:val="clear" w:pos="708"/>
                <w:tab w:val="left" w:pos="959" w:leader="none"/>
              </w:tabs>
              <w:spacing w:lineRule="auto" w:line="276"/>
              <w:ind w:hanging="0" w:left="142" w:right="158"/>
              <w:jc w:val="left"/>
              <w:rPr>
                <w:rFonts w:eastAsia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>2.12.</w:t>
              <w:tab/>
              <w:t>Источник теплоснабжения – котельная «Агромех».</w:t>
            </w:r>
          </w:p>
          <w:p>
            <w:pPr>
              <w:pStyle w:val="Normal"/>
              <w:tabs>
                <w:tab w:val="clear" w:pos="708"/>
                <w:tab w:val="left" w:pos="959" w:leader="none"/>
              </w:tabs>
              <w:spacing w:lineRule="auto" w:line="276"/>
              <w:ind w:hanging="0" w:left="142" w:right="158"/>
              <w:jc w:val="left"/>
              <w:rPr>
                <w:rFonts w:eastAsia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>2.13.</w:t>
              <w:tab/>
              <w:t>Схема трассировки теплотрассы предоставлена в Приложении № 1.2 к  настоящему заданию на проектирование..</w:t>
            </w:r>
          </w:p>
          <w:p>
            <w:pPr>
              <w:pStyle w:val="Normal"/>
              <w:widowControl/>
              <w:tabs>
                <w:tab w:val="clear" w:pos="708"/>
                <w:tab w:val="left" w:pos="959" w:leader="none"/>
              </w:tabs>
              <w:suppressAutoHyphens w:val="false"/>
              <w:bidi w:val="0"/>
              <w:spacing w:lineRule="auto" w:line="276" w:before="0" w:after="0"/>
              <w:ind w:firstLine="397" w:left="170" w:right="170"/>
              <w:jc w:val="left"/>
              <w:rPr>
                <w:rFonts w:eastAsia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>3. Дополнительные сведения предоставляются Заказчиком по письменному запросу Подрядчика с указанием перечня необходимых сведений и документов.</w:t>
            </w:r>
          </w:p>
        </w:tc>
      </w:tr>
      <w:tr>
        <w:trPr/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24"/>
              <w:jc w:val="center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eastAsia="Liberation Serif" w:cs="Liberation Serif" w:ascii="Liberation Serif" w:hAnsi="Liberation Serif"/>
                <w:sz w:val="24"/>
                <w:szCs w:val="22"/>
              </w:rPr>
              <w:t>7.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24"/>
              <w:ind w:left="142" w:right="82"/>
              <w:rPr>
                <w:rFonts w:ascii="Liberation Serif" w:hAnsi="Liberation Serif" w:eastAsia="Liberation Serif" w:cs="Liberation Serif"/>
                <w:strike/>
                <w:sz w:val="24"/>
                <w:szCs w:val="22"/>
              </w:rPr>
            </w:pPr>
            <w:r>
              <w:rPr>
                <w:rFonts w:eastAsia="Times New Roman" w:cs="Times New Roman"/>
                <w:sz w:val="24"/>
                <w:szCs w:val="22"/>
              </w:rPr>
              <w:t>Основные объёмы проектных работ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276"/>
              <w:ind w:hanging="0"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  <w:t>1.</w:t>
              <w:tab/>
              <w:t>Проведение обследования объекта реконструкции и сбор исходных данных в объёме, необходимом для выполнения проектной и сметной документации.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76"/>
              <w:ind w:hanging="0"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  <w:t>2.</w:t>
              <w:tab/>
              <w:t>Разработка проектной документации.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76"/>
              <w:ind w:hanging="0"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  <w:t>Реконструкцию тепловой сети выполнить согласно схемам трассировки (Приложение №1 и Приложение №2 к заданию на проектирование), в пределах существующей прокладки.</w:t>
            </w:r>
          </w:p>
          <w:p>
            <w:pPr>
              <w:pStyle w:val="Normal"/>
              <w:widowControl/>
              <w:numPr>
                <w:ilvl w:val="0"/>
                <w:numId w:val="0"/>
              </w:numPr>
              <w:suppressAutoHyphens w:val="false"/>
              <w:bidi w:val="0"/>
              <w:spacing w:lineRule="auto" w:line="276" w:before="0" w:after="0"/>
              <w:ind w:firstLine="567" w:left="170" w:right="17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Протяженность трубопровода дана без учета объема на П-образные  компенсаторы.</w:t>
            </w:r>
          </w:p>
          <w:p>
            <w:pPr>
              <w:pStyle w:val="Normal"/>
              <w:widowControl/>
              <w:numPr>
                <w:ilvl w:val="0"/>
                <w:numId w:val="0"/>
              </w:numPr>
              <w:suppressAutoHyphens w:val="false"/>
              <w:bidi w:val="0"/>
              <w:spacing w:lineRule="auto" w:line="276" w:before="0" w:after="0"/>
              <w:ind w:firstLine="567" w:left="170" w:right="170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  <w:t>В объёме проектных работ предусмотреть:</w:t>
            </w:r>
          </w:p>
          <w:p>
            <w:pPr>
              <w:pStyle w:val="Normal"/>
              <w:widowControl/>
              <w:numPr>
                <w:ilvl w:val="0"/>
                <w:numId w:val="0"/>
              </w:numPr>
              <w:suppressAutoHyphens w:val="false"/>
              <w:bidi w:val="0"/>
              <w:spacing w:lineRule="auto" w:line="276" w:before="0" w:after="0"/>
              <w:ind w:firstLine="567" w:left="170" w:right="170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  <w:t xml:space="preserve">-демонтаж существующей тепловой сети </w:t>
            </w:r>
            <w:r>
              <w:rPr>
                <w:rFonts w:eastAsia="Liberation Serif"/>
                <w:b/>
                <w:bCs/>
                <w:sz w:val="24"/>
                <w:szCs w:val="24"/>
              </w:rPr>
              <w:t>Участка №1</w:t>
            </w:r>
            <w:r>
              <w:rPr>
                <w:rFonts w:eastAsia="Liberation Serif"/>
                <w:sz w:val="24"/>
                <w:szCs w:val="24"/>
              </w:rPr>
              <w:t xml:space="preserve"> (бесканальная подземная часть) и </w:t>
            </w:r>
            <w:r>
              <w:rPr>
                <w:rFonts w:eastAsia="Liberation Serif"/>
                <w:b/>
                <w:bCs/>
                <w:sz w:val="24"/>
                <w:szCs w:val="24"/>
              </w:rPr>
              <w:t xml:space="preserve">Участка №2 </w:t>
            </w: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>(надземный участок)</w:t>
            </w:r>
            <w:r>
              <w:rPr>
                <w:rFonts w:eastAsia="Liberation Serif"/>
                <w:b/>
                <w:bCs/>
                <w:sz w:val="24"/>
                <w:szCs w:val="24"/>
              </w:rPr>
              <w:t>.</w:t>
            </w:r>
          </w:p>
          <w:p>
            <w:pPr>
              <w:pStyle w:val="Normal"/>
              <w:widowControl/>
              <w:numPr>
                <w:ilvl w:val="0"/>
                <w:numId w:val="0"/>
              </w:numPr>
              <w:suppressAutoHyphens w:val="false"/>
              <w:bidi w:val="0"/>
              <w:spacing w:lineRule="auto" w:line="276" w:before="0" w:after="0"/>
              <w:ind w:firstLine="567" w:left="170" w:right="170"/>
              <w:jc w:val="both"/>
              <w:rPr/>
            </w:pP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>-устройство новых строительных конструкций, неподвижных и подвижных опор, с монтажом металлоконструкций для надземной прокладки двухтрубной водяной тепловой сети.</w:t>
            </w:r>
          </w:p>
          <w:p>
            <w:pPr>
              <w:pStyle w:val="Normal"/>
              <w:widowControl/>
              <w:numPr>
                <w:ilvl w:val="0"/>
                <w:numId w:val="0"/>
              </w:numPr>
              <w:suppressAutoHyphens w:val="false"/>
              <w:bidi w:val="0"/>
              <w:spacing w:lineRule="auto" w:line="276" w:before="0" w:after="0"/>
              <w:ind w:firstLine="567" w:left="170" w:right="170"/>
              <w:jc w:val="both"/>
              <w:rPr/>
            </w:pP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 xml:space="preserve">-монтаж тепловой сети </w:t>
            </w:r>
            <w:r>
              <w:rPr>
                <w:rFonts w:eastAsia="Liberation Serif"/>
                <w:b/>
                <w:bCs/>
                <w:sz w:val="24"/>
                <w:szCs w:val="24"/>
              </w:rPr>
              <w:t xml:space="preserve">Участка №2 </w:t>
            </w: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 xml:space="preserve"> над проезжей частью предусмотреть на существующих металлических опорах с усилением и монтажом дополнительного верха пояса. Антикоррозийную защиту металлических конструкций выполнить согласно СП 28.13330.2017 «Защита строительных конструкций от коррозии».</w:t>
            </w:r>
          </w:p>
          <w:p>
            <w:pPr>
              <w:pStyle w:val="Normal"/>
              <w:widowControl/>
              <w:numPr>
                <w:ilvl w:val="0"/>
                <w:numId w:val="0"/>
              </w:numPr>
              <w:suppressAutoHyphens w:val="false"/>
              <w:bidi w:val="0"/>
              <w:spacing w:lineRule="auto" w:line="276" w:before="0" w:after="0"/>
              <w:ind w:firstLine="567" w:left="170" w:right="170"/>
              <w:jc w:val="both"/>
              <w:rPr/>
            </w:pP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>-</w:t>
            </w:r>
            <w:r>
              <w:rPr>
                <w:rFonts w:eastAsia="Liberation Serif"/>
                <w:b/>
                <w:bCs/>
                <w:sz w:val="24"/>
                <w:szCs w:val="24"/>
              </w:rPr>
              <w:t>Участок №2</w:t>
            </w: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 xml:space="preserve"> тепловой сети</w:t>
            </w:r>
            <w:r>
              <w:rPr>
                <w:rFonts w:eastAsia="Liberation Serif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>в зоне грунтов с высоким содержанием влаги (переход через болотистую местность) спроектировать на несущей металлической конструкции ориентировочной протяженностью 20 метров.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76"/>
              <w:ind w:hanging="0"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  <w:t>3.</w:t>
              <w:tab/>
              <w:t>Выполнить необходимые тепловые, гидравлические и прочностные расчёты.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76"/>
              <w:ind w:hanging="0"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  <w:t>4.</w:t>
              <w:tab/>
              <w:t>Согласование проектной документации с собственниками пересекаемых коммуникаций (при необходимости);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76"/>
              <w:ind w:hanging="0"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  <w:t>5.</w:t>
              <w:tab/>
              <w:t>Разработка сметной документации.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76"/>
              <w:ind w:hanging="0"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  <w:t>При необходимости Подрядчик выполняет соответствующие корректировки проектной и сметной документаций, возникающие в ходе выполнения строительно-монтажных работ.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76"/>
              <w:ind w:hanging="0"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  <w:t>Объем проектной документации должен быть достаточным для проведения строительно-монтажных работ.</w:t>
            </w:r>
          </w:p>
        </w:tc>
      </w:tr>
      <w:tr>
        <w:trPr/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24"/>
              <w:ind w:left="170"/>
              <w:jc w:val="center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eastAsia="Liberation Serif" w:cs="Liberation Serif" w:ascii="Liberation Serif" w:hAnsi="Liberation Serif"/>
                <w:sz w:val="24"/>
                <w:szCs w:val="22"/>
              </w:rPr>
              <w:t>8.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24"/>
              <w:ind w:left="142" w:right="82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eastAsia="Times New Roman" w:cs="Times New Roman"/>
                <w:sz w:val="24"/>
                <w:szCs w:val="22"/>
              </w:rPr>
              <w:t>Требования к составу разрабатываемой документации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0"/>
              <w:ind w:firstLine="397" w:left="170" w:right="1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Объём и состав проектной документации должен соответствовать требованиям  Постановления Правительства Российской Федерации от 16.02.2008 № 87 «О составе разделов проектной документации и требованиях к их содержанию», </w:t>
            </w:r>
            <w:r>
              <w:rPr>
                <w:strike w:val="false"/>
                <w:dstrike w:val="false"/>
                <w:sz w:val="24"/>
              </w:rPr>
              <w:t>ГОСТ Р 21.101-2020 "Система проектной документации для строительства. ГОСТ 24.405-93 "Правила оформления рабочей документации тепловой изоляции оборудования и трубопроводов" и других взаимосвязанных стандартов Системы проектной документации для строительства, Постановлением Правительства РФ от 26.12.2014 №1521 «Об утверждении перечня национальных стандартов и сводов правил», Федеральным законом от 30.12.2009 №384-ФЗ «Технический регламент о безопасности зданий и сооружений» в объеме в соответствии с техническим заданием.</w:t>
            </w:r>
          </w:p>
          <w:p>
            <w:pPr>
              <w:pStyle w:val="Normal"/>
              <w:widowControl/>
              <w:suppressAutoHyphens w:val="false"/>
              <w:bidi w:val="0"/>
              <w:spacing w:lineRule="auto" w:line="276" w:before="0" w:after="0"/>
              <w:ind w:firstLine="397" w:left="170" w:right="1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Раздел ПОС выполнить в соответствии с требованиями СП 48.13330.2019 «Свод правил. Организация строительства». </w:t>
            </w:r>
            <w:r>
              <w:rPr>
                <w:sz w:val="24"/>
                <w:szCs w:val="24"/>
                <w:lang w:eastAsia="ru-RU" w:bidi="ru-RU"/>
              </w:rPr>
              <w:t>В ПОС разработать сводные спецификации на оборудование, строительные конструкции, материалы.</w:t>
            </w:r>
          </w:p>
          <w:p>
            <w:pPr>
              <w:pStyle w:val="Normal"/>
              <w:widowControl/>
              <w:suppressAutoHyphens w:val="false"/>
              <w:bidi w:val="0"/>
              <w:spacing w:lineRule="auto" w:line="276" w:before="0" w:after="0"/>
              <w:ind w:firstLine="397" w:left="170" w:right="113"/>
              <w:jc w:val="both"/>
              <w:rPr>
                <w:sz w:val="24"/>
              </w:rPr>
            </w:pPr>
            <w:r>
              <w:rPr>
                <w:sz w:val="24"/>
                <w:szCs w:val="24"/>
                <w:lang w:eastAsia="ru-RU" w:bidi="ru-RU"/>
              </w:rPr>
              <w:t>В составе проекта организации реконструкции разработать перечень работ, для которых необходимо составление актов освидетельствования скрытых работ и актов промежуточной приемки ответственных конструкций (работ), порядок проведения приемочных испытаний (проверок). При составлении календарного плана строительства учесть сроки изготовления и доставки материалов и оборудования к месту строительства.</w:t>
            </w:r>
          </w:p>
          <w:p>
            <w:pPr>
              <w:pStyle w:val="Normal"/>
              <w:spacing w:lineRule="auto" w:line="276"/>
              <w:ind w:firstLine="130" w:left="159" w:right="137"/>
              <w:jc w:val="both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В составе проекта предусмотреть:</w:t>
            </w:r>
          </w:p>
          <w:p>
            <w:pPr>
              <w:pStyle w:val="Normal"/>
              <w:spacing w:lineRule="auto" w:line="276"/>
              <w:ind w:firstLine="130" w:left="159" w:right="137"/>
              <w:jc w:val="both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-</w:t>
              <w:tab/>
              <w:t>спецификацию изделий и Материалов, выполняемую в соответствии с "ГОСТ 21.110-2013. Межгосударственный стандарт. Система проектной документации для строительства. Спецификация оборудования, изделий и материалов";</w:t>
            </w:r>
          </w:p>
          <w:p>
            <w:pPr>
              <w:pStyle w:val="Normal"/>
              <w:spacing w:lineRule="auto" w:line="276"/>
              <w:ind w:firstLine="130" w:left="159" w:right="137"/>
              <w:jc w:val="both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-</w:t>
              <w:tab/>
              <w:t>ведомости и сводные ведомости потребности в материалах по "ГОСТ 21.110-2013. Межгосударственный стандарт. Система проектной документации для строительства. Спецификация оборудования, изделий и материалов";</w:t>
            </w:r>
          </w:p>
          <w:p>
            <w:pPr>
              <w:pStyle w:val="Normal"/>
              <w:spacing w:lineRule="auto" w:line="276"/>
              <w:ind w:firstLine="130" w:left="159" w:right="137"/>
              <w:jc w:val="both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- ведомости и сборники ведомостей объемов строительных и монтажных работ по "ГОСТ 21.110-2013. Межгосударственный стандарт. Система проектной документации для строительства";</w:t>
            </w:r>
          </w:p>
          <w:p>
            <w:pPr>
              <w:pStyle w:val="Normal"/>
              <w:spacing w:lineRule="auto" w:line="276"/>
              <w:ind w:firstLine="130" w:left="159" w:right="137"/>
              <w:jc w:val="both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- другие документы, предусмотренные соответствующими стандартами СПДС.</w:t>
            </w:r>
          </w:p>
          <w:p>
            <w:pPr>
              <w:pStyle w:val="Normal"/>
              <w:spacing w:lineRule="auto" w:line="276"/>
              <w:ind w:firstLine="130" w:left="159" w:right="137"/>
              <w:jc w:val="both"/>
              <w:rPr>
                <w:sz w:val="24"/>
              </w:rPr>
            </w:pPr>
            <w:r>
              <w:rPr>
                <w:sz w:val="24"/>
              </w:rPr>
              <w:t>Объем проектной документации должен быть достаточным для проведения всего комплекса монтажных работ, включая рабочие чертежи, объединенные в комплекты по видам работ.</w:t>
            </w:r>
          </w:p>
          <w:p>
            <w:pPr>
              <w:pStyle w:val="Normal"/>
              <w:spacing w:lineRule="auto" w:line="276"/>
              <w:ind w:firstLine="130" w:left="159" w:right="137"/>
              <w:jc w:val="both"/>
              <w:rPr>
                <w:sz w:val="24"/>
              </w:rPr>
            </w:pPr>
            <w:r>
              <w:rPr>
                <w:sz w:val="24"/>
              </w:rPr>
              <w:t>2. В составе сметной документации предусмотреть:</w:t>
            </w:r>
          </w:p>
          <w:p>
            <w:pPr>
              <w:pStyle w:val="Normal"/>
              <w:spacing w:lineRule="auto" w:line="276"/>
              <w:ind w:firstLine="130" w:left="159" w:right="137"/>
              <w:rPr>
                <w:sz w:val="24"/>
              </w:rPr>
            </w:pPr>
            <w:r>
              <w:rPr>
                <w:sz w:val="24"/>
              </w:rPr>
              <w:t>-  локальные сметы (сметные расчеты) на отдельные виды работ, которые необходимо выполнить по данному объекту;</w:t>
            </w:r>
          </w:p>
          <w:p>
            <w:pPr>
              <w:pStyle w:val="Normal"/>
              <w:spacing w:lineRule="auto" w:line="276"/>
              <w:ind w:firstLine="130" w:left="159" w:right="137"/>
              <w:rPr>
                <w:sz w:val="24"/>
              </w:rPr>
            </w:pPr>
            <w:r>
              <w:rPr>
                <w:sz w:val="24"/>
              </w:rPr>
              <w:t xml:space="preserve">- объектные сметы </w:t>
            </w:r>
            <w:r>
              <w:rPr>
                <w:sz w:val="24"/>
              </w:rPr>
              <w:t>на каждый участок отдельно</w:t>
            </w:r>
            <w:r>
              <w:rPr>
                <w:sz w:val="24"/>
              </w:rPr>
              <w:t>, где объединены данные из локальных смет;</w:t>
            </w:r>
          </w:p>
          <w:p>
            <w:pPr>
              <w:pStyle w:val="Normal"/>
              <w:spacing w:lineRule="auto" w:line="276"/>
              <w:ind w:firstLine="130" w:left="159" w:right="137"/>
              <w:rPr>
                <w:sz w:val="24"/>
              </w:rPr>
            </w:pPr>
            <w:r>
              <w:rPr>
                <w:sz w:val="24"/>
              </w:rPr>
              <w:t>- сметные расчеты на отдельные виды затрат;</w:t>
            </w:r>
          </w:p>
          <w:p>
            <w:pPr>
              <w:pStyle w:val="Normal"/>
              <w:spacing w:lineRule="auto" w:line="276"/>
              <w:ind w:firstLine="130" w:left="159" w:right="137"/>
              <w:rPr>
                <w:sz w:val="24"/>
              </w:rPr>
            </w:pPr>
            <w:r>
              <w:rPr>
                <w:sz w:val="24"/>
              </w:rPr>
              <w:t>- сводные сметные расчёты;</w:t>
            </w:r>
          </w:p>
          <w:p>
            <w:pPr>
              <w:pStyle w:val="Normal"/>
              <w:spacing w:lineRule="auto" w:line="276"/>
              <w:ind w:firstLine="130" w:left="159" w:right="137"/>
              <w:rPr>
                <w:sz w:val="24"/>
              </w:rPr>
            </w:pPr>
            <w:r>
              <w:rPr>
                <w:sz w:val="24"/>
              </w:rPr>
              <w:t>- ведомости объёмов работ;</w:t>
            </w:r>
          </w:p>
          <w:p>
            <w:pPr>
              <w:pStyle w:val="Normal"/>
              <w:spacing w:lineRule="auto" w:line="276"/>
              <w:ind w:firstLine="130" w:left="159" w:right="137"/>
              <w:jc w:val="both"/>
              <w:rPr>
                <w:sz w:val="24"/>
              </w:rPr>
            </w:pPr>
            <w:r>
              <w:rPr>
                <w:sz w:val="24"/>
              </w:rPr>
              <w:t>- прайс-листы и технико-коммерческие предложения на материалы и оборудование.</w:t>
            </w:r>
          </w:p>
          <w:p>
            <w:pPr>
              <w:pStyle w:val="Normal"/>
              <w:spacing w:lineRule="auto" w:line="276"/>
              <w:ind w:firstLine="130" w:left="159" w:right="137"/>
              <w:jc w:val="both"/>
              <w:rPr>
                <w:sz w:val="24"/>
              </w:rPr>
            </w:pPr>
            <w:r>
              <w:rPr>
                <w:sz w:val="24"/>
              </w:rPr>
              <w:t>В стоимость работ должны быть включены все затраты, связанные с созданием объекта и вводом его в эксплуатацию.</w:t>
            </w:r>
          </w:p>
          <w:p>
            <w:pPr>
              <w:pStyle w:val="Normal"/>
              <w:spacing w:lineRule="auto" w:line="276"/>
              <w:ind w:firstLine="159"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  <w:t>Все оборудование и материалы со стоимостью по прайс-листам должны быть согласованы с Заказчиком в процессе проектирования. К запросу на согласование цены в обязательном порядке прикладываются коммерческие предложения и мониторинг цен, не менее трёх поставщиков.</w:t>
            </w:r>
          </w:p>
          <w:p>
            <w:pPr>
              <w:pStyle w:val="Normal"/>
              <w:spacing w:lineRule="auto" w:line="276"/>
              <w:ind w:firstLine="159"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  <w:t>3. При разработке проектно-сметной документации выполнить разделение трассы на участки указанные в п.6 Задания на проектирование, для возможности ввода в эксплуатацию автономно независимых под объектов в составе единой проектной документации, с целью не наращивания объемов незавершенного строительства.</w:t>
            </w:r>
          </w:p>
          <w:p>
            <w:pPr>
              <w:pStyle w:val="Annotationtext"/>
              <w:spacing w:lineRule="auto" w:line="276"/>
              <w:ind w:firstLine="130" w:left="159" w:right="137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sz w:val="24"/>
              </w:rPr>
              <w:t>4. Проектную документацию в обязательном порядке согласовать с Заказчиком.</w:t>
            </w:r>
          </w:p>
        </w:tc>
      </w:tr>
      <w:tr>
        <w:trPr/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24"/>
              <w:jc w:val="center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eastAsia="Liberation Serif" w:cs="Liberation Serif" w:ascii="Liberation Serif" w:hAnsi="Liberation Serif"/>
                <w:sz w:val="24"/>
                <w:szCs w:val="22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24"/>
              <w:ind w:left="142" w:right="82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eastAsia="Times New Roman" w:cs="Times New Roman"/>
                <w:sz w:val="24"/>
                <w:szCs w:val="22"/>
              </w:rPr>
              <w:t>Основные требования к проектным решениям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01"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  <w:t>Для компенсации температурных удлинений трубопроводов в соответствии с требованиями СНиП использовать углы поворотов трассы, сильфонные компенсаторы.</w:t>
            </w:r>
          </w:p>
          <w:p>
            <w:pPr>
              <w:pStyle w:val="Normal"/>
              <w:spacing w:lineRule="auto" w:line="276"/>
              <w:ind w:firstLine="301"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  <w:t>Вид прокладки теплотрассы принять в соответствии с требованиями СНиП, увязав с существующими условиями прохождения тепловой сети.</w:t>
            </w:r>
          </w:p>
          <w:p>
            <w:pPr>
              <w:pStyle w:val="Normal"/>
              <w:spacing w:lineRule="auto" w:line="276"/>
              <w:ind w:firstLine="301"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  <w:t>Отвод дренажных вод запроектировать в соответствии с требованиями законодательства об охране окружающей среды и основ земельного кодекса РФ, получить все необходимые согласования.</w:t>
            </w:r>
          </w:p>
          <w:p>
            <w:pPr>
              <w:pStyle w:val="Normal"/>
              <w:spacing w:lineRule="auto" w:line="276"/>
              <w:ind w:firstLine="301"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  <w:t>Железобетонные конструкции, соприкасающиеся с грунтом, покрыть гидроизоляционной мастикой.</w:t>
            </w:r>
          </w:p>
          <w:p>
            <w:pPr>
              <w:pStyle w:val="Normal"/>
              <w:spacing w:lineRule="auto" w:line="276"/>
              <w:ind w:firstLine="301"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  <w:t>Расчет на прочность трубопроводов выполнить в соответствии с ГОСТ 55596-2013 «Сети тепловые. Нормы и методы расчета на прочность и сейсмические воздействия».</w:t>
            </w:r>
          </w:p>
        </w:tc>
      </w:tr>
      <w:tr>
        <w:trPr/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24"/>
              <w:ind w:left="170"/>
              <w:jc w:val="center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eastAsia="Liberation Serif" w:cs="Liberation Serif" w:ascii="Liberation Serif" w:hAnsi="Liberation Serif"/>
                <w:sz w:val="24"/>
                <w:szCs w:val="22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24"/>
              <w:ind w:left="142" w:right="82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Style w:val="23"/>
                <w:rFonts w:eastAsia="Times New Roman" w:cs="Times New Roman"/>
                <w:szCs w:val="22"/>
              </w:rPr>
              <w:t>Порядок формирования сметной документации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hd w:val="clear" w:color="auto" w:fill="FFFFFF"/>
              <w:tabs>
                <w:tab w:val="clear" w:pos="708"/>
                <w:tab w:val="left" w:pos="1361" w:leader="none"/>
              </w:tabs>
              <w:spacing w:lineRule="auto" w:line="276"/>
              <w:ind w:firstLine="301" w:left="142" w:right="137"/>
              <w:jc w:val="both"/>
              <w:rPr>
                <w:spacing w:val="-5"/>
                <w:sz w:val="24"/>
                <w:szCs w:val="24"/>
                <w:lang w:bidi="ru-RU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>В составе проектной документации сметы на СМР формировать по следующим критериям: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1361" w:leader="none"/>
              </w:tabs>
              <w:spacing w:lineRule="auto" w:line="276"/>
              <w:ind w:firstLine="301" w:left="142" w:right="137"/>
              <w:jc w:val="both"/>
              <w:rPr>
                <w:spacing w:val="-5"/>
                <w:sz w:val="24"/>
                <w:szCs w:val="24"/>
                <w:lang w:bidi="ru-RU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>При составлении сметной документации руководствоваться актуальными методическими документами, действующими на момент составления проектной документации.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1361" w:leader="none"/>
              </w:tabs>
              <w:spacing w:lineRule="auto" w:line="276"/>
              <w:ind w:firstLine="301" w:left="142" w:right="137"/>
              <w:jc w:val="both"/>
              <w:rPr>
                <w:spacing w:val="-5"/>
                <w:sz w:val="24"/>
                <w:szCs w:val="24"/>
                <w:lang w:bidi="ru-RU"/>
              </w:rPr>
            </w:pPr>
            <w:r>
              <w:rPr>
                <w:rFonts w:cs="Times New Roman"/>
                <w:sz w:val="24"/>
                <w:szCs w:val="24"/>
              </w:rPr>
              <w:t>Индексы перевода в текущие цены учитывать по данным ФГИС, публикуемых на момент составления сметной документации</w:t>
            </w:r>
            <w:r>
              <w:rPr>
                <w:spacing w:val="-5"/>
                <w:sz w:val="24"/>
                <w:szCs w:val="24"/>
                <w:lang w:bidi="ru-RU"/>
              </w:rPr>
              <w:t>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1361" w:leader="none"/>
              </w:tabs>
              <w:spacing w:lineRule="auto" w:line="276"/>
              <w:ind w:firstLine="301" w:left="142" w:right="137"/>
              <w:jc w:val="both"/>
              <w:rPr>
                <w:spacing w:val="-5"/>
                <w:sz w:val="24"/>
                <w:szCs w:val="24"/>
                <w:lang w:bidi="ru-RU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 xml:space="preserve">– </w:t>
            </w:r>
            <w:r>
              <w:rPr>
                <w:spacing w:val="-5"/>
                <w:sz w:val="24"/>
                <w:szCs w:val="24"/>
                <w:lang w:bidi="ru-RU"/>
              </w:rPr>
              <w:t>при расчете сметной стоимости, сметную прибыль принять 40% от ФОТ для СМР.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1361" w:leader="none"/>
              </w:tabs>
              <w:spacing w:lineRule="auto" w:line="276"/>
              <w:ind w:firstLine="301" w:left="142" w:right="137"/>
              <w:jc w:val="both"/>
              <w:rPr>
                <w:spacing w:val="-5"/>
                <w:sz w:val="24"/>
                <w:szCs w:val="24"/>
                <w:lang w:bidi="ru-RU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>Командировочные затраты предусмотреть в размере 3,74% от итогов глав 1-9 без учёта стоимости оборудования.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1361" w:leader="none"/>
              </w:tabs>
              <w:spacing w:lineRule="auto" w:line="276"/>
              <w:ind w:firstLine="301" w:left="142" w:right="137"/>
              <w:jc w:val="both"/>
              <w:rPr>
                <w:spacing w:val="-5"/>
                <w:sz w:val="24"/>
                <w:szCs w:val="24"/>
                <w:lang w:bidi="ru-RU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>Величину резерва средств на непредвиденные работы и затраты принимать в размере 3%.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1361" w:leader="none"/>
              </w:tabs>
              <w:spacing w:lineRule="auto" w:line="276"/>
              <w:ind w:firstLine="301" w:left="142" w:right="137"/>
              <w:jc w:val="both"/>
              <w:rPr>
                <w:spacing w:val="-5"/>
                <w:sz w:val="24"/>
                <w:szCs w:val="24"/>
                <w:lang w:bidi="ru-RU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>Предусмотреть затраты на выполнение гидравлических и гарантийных испытаний.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1361" w:leader="none"/>
              </w:tabs>
              <w:spacing w:lineRule="auto" w:line="276"/>
              <w:ind w:firstLine="301" w:left="142" w:right="137"/>
              <w:jc w:val="both"/>
              <w:rPr>
                <w:spacing w:val="-5"/>
                <w:sz w:val="24"/>
                <w:szCs w:val="24"/>
                <w:lang w:bidi="ru-RU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>Стоимость материалов учтённых в сметах по текущим ценам, подтвердить обосновывающими документами с предоставлением сравнительной таблицы предложений от трех поставщиков.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1361" w:leader="none"/>
              </w:tabs>
              <w:spacing w:lineRule="auto" w:line="276"/>
              <w:ind w:firstLine="301" w:left="142" w:right="137"/>
              <w:jc w:val="both"/>
              <w:rPr>
                <w:spacing w:val="-5"/>
                <w:sz w:val="24"/>
                <w:szCs w:val="24"/>
                <w:lang w:bidi="ru-RU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>Применяемые ценообразующие документы согласовать с Заказчиком.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1361" w:leader="none"/>
              </w:tabs>
              <w:spacing w:lineRule="auto" w:line="276"/>
              <w:ind w:firstLine="301" w:left="142" w:right="137"/>
              <w:jc w:val="both"/>
              <w:rPr>
                <w:spacing w:val="-5"/>
                <w:sz w:val="24"/>
                <w:szCs w:val="24"/>
                <w:lang w:bidi="ru-RU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>Сводный сметный расчёт, объектные сметы, составляются в базисном и текущем уровне цен на момент строительства.</w:t>
            </w:r>
          </w:p>
        </w:tc>
      </w:tr>
      <w:tr>
        <w:trPr/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24"/>
              <w:ind w:left="170"/>
              <w:jc w:val="center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eastAsia="Liberation Serif" w:cs="Liberation Serif" w:ascii="Liberation Serif" w:hAnsi="Liberation Serif"/>
                <w:sz w:val="24"/>
                <w:szCs w:val="22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24"/>
              <w:ind w:left="142" w:right="82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eastAsia="Times New Roman" w:cs="Times New Roman"/>
                <w:sz w:val="24"/>
                <w:szCs w:val="22"/>
              </w:rPr>
              <w:t>Требования пожарной и промышленной безопасности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01"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Документацию выполнить с учетом «Технического регламента о требованиях пожарной безопасности» (ФЗ от 22.07.2008 № 123), РД 153-34.0-49.101-2003 и иных нормативно-технических документов. Учесть требования федерального закона «О промышленной безопасности опасных производственных объектов» (ФЗ от 21.07.1997 № 116-ФЗ).</w:t>
            </w:r>
          </w:p>
        </w:tc>
      </w:tr>
      <w:tr>
        <w:trPr>
          <w:trHeight w:val="719" w:hRule="atLeast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24"/>
              <w:ind w:left="170"/>
              <w:jc w:val="center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eastAsia="Liberation Serif" w:cs="Liberation Serif" w:ascii="Liberation Serif" w:hAnsi="Liberation Serif"/>
                <w:sz w:val="24"/>
                <w:szCs w:val="22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24"/>
              <w:ind w:left="142" w:right="82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eastAsia="Times New Roman" w:cs="Times New Roman"/>
                <w:sz w:val="24"/>
                <w:szCs w:val="22"/>
              </w:rPr>
              <w:t>Перечень нормативных документов и приказов, обязательных к применению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26" w:leader="none"/>
                <w:tab w:val="left" w:pos="750" w:leader="none"/>
                <w:tab w:val="left" w:pos="954" w:leader="none"/>
              </w:tabs>
              <w:spacing w:lineRule="auto" w:line="276"/>
              <w:ind w:firstLine="121" w:left="142" w:right="279"/>
              <w:jc w:val="both"/>
              <w:rPr>
                <w:rStyle w:val="23"/>
              </w:rPr>
            </w:pPr>
            <w:r>
              <w:rPr>
                <w:rStyle w:val="23"/>
              </w:rPr>
              <w:t>- Градостроительный кодекс Российской Федерации от 29.12.2004 N 191-Федеральный закон.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6" w:leader="none"/>
                <w:tab w:val="left" w:pos="750" w:leader="none"/>
                <w:tab w:val="left" w:pos="954" w:leader="none"/>
              </w:tabs>
              <w:spacing w:lineRule="auto" w:line="276"/>
              <w:ind w:firstLine="121" w:left="142" w:right="279"/>
              <w:jc w:val="both"/>
              <w:rPr>
                <w:rStyle w:val="23"/>
              </w:rPr>
            </w:pPr>
            <w:r>
              <w:rPr>
                <w:rStyle w:val="23"/>
              </w:rPr>
              <w:t xml:space="preserve"> </w:t>
            </w:r>
            <w:r>
              <w:rPr>
                <w:rStyle w:val="23"/>
              </w:rPr>
              <w:t>- Земельный кодекс Российской Федерации от 25.10.2001 N 136- Федеральный закон.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6" w:leader="none"/>
                <w:tab w:val="left" w:pos="750" w:leader="none"/>
                <w:tab w:val="left" w:pos="954" w:leader="none"/>
              </w:tabs>
              <w:spacing w:lineRule="auto" w:line="276"/>
              <w:ind w:firstLine="121" w:left="142" w:right="279"/>
              <w:jc w:val="both"/>
              <w:rPr>
                <w:rStyle w:val="23"/>
              </w:rPr>
            </w:pPr>
            <w:r>
              <w:rPr>
                <w:rStyle w:val="23"/>
              </w:rPr>
              <w:t>- Федеральный закон от 24.07.2007 № 221-Федеральный закон «О государственном кадастре недвижимости».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6" w:leader="none"/>
                <w:tab w:val="left" w:pos="750" w:leader="none"/>
                <w:tab w:val="left" w:pos="954" w:leader="none"/>
              </w:tabs>
              <w:spacing w:lineRule="auto" w:line="276"/>
              <w:ind w:firstLine="121" w:left="142" w:right="279"/>
              <w:jc w:val="both"/>
              <w:rPr>
                <w:rStyle w:val="23"/>
              </w:rPr>
            </w:pPr>
            <w:r>
              <w:rPr>
                <w:rStyle w:val="23"/>
              </w:rPr>
              <w:t>-СП 42.13330.2016 «Градостроительство. Планировка и застройка городских и сельских поселений».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6" w:leader="none"/>
                <w:tab w:val="left" w:pos="750" w:leader="none"/>
                <w:tab w:val="left" w:pos="954" w:leader="none"/>
              </w:tabs>
              <w:spacing w:lineRule="auto" w:line="276"/>
              <w:ind w:firstLine="121" w:left="142" w:right="279"/>
              <w:jc w:val="both"/>
              <w:rPr>
                <w:rStyle w:val="23"/>
              </w:rPr>
            </w:pPr>
            <w:r>
              <w:rPr>
                <w:rStyle w:val="23"/>
              </w:rPr>
              <w:t>- СП 11-112-2001 "Порядок разработки и состав раздела "Инженерно-технические мероприятия гражданской обороны. Мероприятия по предупреждению чрезвычайных ситуаций" градостроительной документации для территорий городских и сельских поселений, других муниципальных образований.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6" w:leader="none"/>
                <w:tab w:val="left" w:pos="750" w:leader="none"/>
                <w:tab w:val="left" w:pos="954" w:leader="none"/>
              </w:tabs>
              <w:spacing w:lineRule="auto" w:line="276"/>
              <w:ind w:firstLine="121" w:left="142" w:right="279"/>
              <w:jc w:val="both"/>
              <w:rPr>
                <w:rStyle w:val="23"/>
              </w:rPr>
            </w:pPr>
            <w:r>
              <w:rPr>
                <w:rStyle w:val="23"/>
              </w:rPr>
              <w:t>- СП 47.13330.2016 «Инженерные изыскания для строительства. Основные положения».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6" w:leader="none"/>
                <w:tab w:val="left" w:pos="750" w:leader="none"/>
                <w:tab w:val="left" w:pos="954" w:leader="none"/>
              </w:tabs>
              <w:spacing w:lineRule="auto" w:line="276"/>
              <w:ind w:firstLine="121" w:left="142" w:right="279"/>
              <w:jc w:val="both"/>
              <w:rPr>
                <w:rStyle w:val="23"/>
              </w:rPr>
            </w:pPr>
            <w:r>
              <w:rPr>
                <w:rStyle w:val="23"/>
              </w:rPr>
              <w:t>- Инструкция о порядке проектирования и установления красных линий в городах и других поселениях Российской Федерации РДС-30-201-98, принятая постановлением Госстроя России от 06.04.1998г. № 18-30.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6" w:leader="none"/>
                <w:tab w:val="left" w:pos="750" w:leader="none"/>
                <w:tab w:val="left" w:pos="954" w:leader="none"/>
              </w:tabs>
              <w:spacing w:lineRule="auto" w:line="276"/>
              <w:ind w:firstLine="121" w:left="142" w:right="279"/>
              <w:jc w:val="both"/>
              <w:rPr>
                <w:rStyle w:val="23"/>
              </w:rPr>
            </w:pPr>
            <w:r>
              <w:rPr>
                <w:rStyle w:val="23"/>
              </w:rPr>
              <w:t>- Закон Амурской области от 05.12.2006 № 259-ОЗ «О регулировании градостроительной деятельности в Амурской области».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6" w:leader="none"/>
                <w:tab w:val="left" w:pos="750" w:leader="none"/>
                <w:tab w:val="left" w:pos="954" w:leader="none"/>
              </w:tabs>
              <w:spacing w:lineRule="auto" w:line="276"/>
              <w:ind w:firstLine="121" w:left="142" w:right="279"/>
              <w:jc w:val="both"/>
              <w:rPr>
                <w:rStyle w:val="23"/>
              </w:rPr>
            </w:pPr>
            <w:r>
              <w:rPr>
                <w:rStyle w:val="23"/>
              </w:rPr>
              <w:t>- Нормативы градостроительного проектирования муниципального образования рабочего поселка (пгт) Прогресс.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6" w:leader="none"/>
                <w:tab w:val="left" w:pos="750" w:leader="none"/>
                <w:tab w:val="left" w:pos="954" w:leader="none"/>
              </w:tabs>
              <w:spacing w:lineRule="auto" w:line="276"/>
              <w:ind w:firstLine="121" w:left="142" w:right="279"/>
              <w:jc w:val="both"/>
              <w:rPr>
                <w:rStyle w:val="23"/>
              </w:rPr>
            </w:pPr>
            <w:r>
              <w:rPr>
                <w:rStyle w:val="23"/>
              </w:rPr>
              <w:t xml:space="preserve">- Генеральный план 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>рабочего поселка (пгт) Прогресс.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6" w:leader="none"/>
                <w:tab w:val="left" w:pos="750" w:leader="none"/>
                <w:tab w:val="left" w:pos="954" w:leader="none"/>
              </w:tabs>
              <w:spacing w:lineRule="auto" w:line="276"/>
              <w:ind w:firstLine="121" w:left="142" w:right="279"/>
              <w:jc w:val="both"/>
              <w:rPr>
                <w:sz w:val="24"/>
                <w:szCs w:val="24"/>
                <w:lang w:bidi="ru-RU"/>
              </w:rPr>
            </w:pPr>
            <w:r>
              <w:rPr>
                <w:rStyle w:val="23"/>
              </w:rPr>
              <w:t>- СП 124.13330.2012. Тепловые сети (Изменение № 1);</w:t>
            </w:r>
          </w:p>
          <w:p>
            <w:pPr>
              <w:pStyle w:val="Normal"/>
              <w:widowControl w:val="false"/>
              <w:spacing w:lineRule="auto" w:line="276"/>
              <w:ind w:firstLine="121" w:left="142" w:right="279"/>
              <w:jc w:val="both"/>
              <w:rPr>
                <w:sz w:val="24"/>
                <w:szCs w:val="24"/>
              </w:rPr>
            </w:pPr>
            <w:r>
              <w:rPr>
                <w:rStyle w:val="23"/>
              </w:rPr>
              <w:t>- СП 36.13330.2012. Свод правил. Магистральные трубопроводы (Изменение №1, 2, 3);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54" w:leader="none"/>
              </w:tabs>
              <w:spacing w:lineRule="auto" w:line="276"/>
              <w:ind w:firstLine="121" w:left="142" w:right="279"/>
              <w:jc w:val="both"/>
              <w:rPr>
                <w:rStyle w:val="23"/>
              </w:rPr>
            </w:pPr>
            <w:r>
              <w:rPr>
                <w:rStyle w:val="23"/>
              </w:rPr>
              <w:t>- СП 61.13330.2012 Тепловая изоляция оборудования и трубопроводов (Изменение № 1);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08" w:leader="none"/>
              </w:tabs>
              <w:spacing w:lineRule="auto" w:line="276"/>
              <w:ind w:firstLine="121" w:left="142" w:right="279"/>
              <w:jc w:val="both"/>
              <w:rPr>
                <w:sz w:val="24"/>
                <w:szCs w:val="24"/>
              </w:rPr>
            </w:pPr>
            <w:r>
              <w:rPr>
                <w:rStyle w:val="23"/>
              </w:rPr>
              <w:t>- ГОСТ 21.705-2016. Система проектной документации для строительства» (Поправка № 1);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33" w:leader="none"/>
              </w:tabs>
              <w:spacing w:lineRule="auto" w:line="276"/>
              <w:ind w:firstLine="121" w:left="142" w:right="279"/>
              <w:jc w:val="both"/>
              <w:rPr>
                <w:sz w:val="24"/>
                <w:szCs w:val="24"/>
              </w:rPr>
            </w:pPr>
            <w:r>
              <w:rPr>
                <w:rStyle w:val="23"/>
              </w:rPr>
              <w:t>- СП 33.13330.2012 «Расчет на прочность стальных трубопроводов» (Изменение № 1);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5" w:leader="none"/>
              </w:tabs>
              <w:spacing w:lineRule="auto" w:line="276"/>
              <w:ind w:firstLine="121" w:left="142" w:right="279"/>
              <w:jc w:val="both"/>
              <w:rPr>
                <w:sz w:val="24"/>
                <w:szCs w:val="24"/>
              </w:rPr>
            </w:pPr>
            <w:r>
              <w:rPr>
                <w:rStyle w:val="23"/>
              </w:rPr>
              <w:t>- СП 41-105-2002 «Проектирование и строительство тепловых сетей бесканальной прокладки из стальных труб с индустриальной тепловой изоляцией из пенополиуретана в полиэтиленовой оболочке»;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8" w:leader="none"/>
              </w:tabs>
              <w:spacing w:lineRule="auto" w:line="276"/>
              <w:ind w:firstLine="121" w:left="142" w:right="279"/>
              <w:jc w:val="both"/>
              <w:rPr>
                <w:sz w:val="24"/>
                <w:szCs w:val="24"/>
              </w:rPr>
            </w:pPr>
            <w:r>
              <w:rPr>
                <w:rStyle w:val="23"/>
              </w:rPr>
              <w:t>- ГОСТ 21.206-2012 СПДС. Условные обозначения трубопроводов;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54" w:leader="none"/>
              </w:tabs>
              <w:spacing w:lineRule="auto" w:line="276"/>
              <w:ind w:firstLine="121" w:left="142" w:right="279"/>
              <w:jc w:val="both"/>
              <w:rPr>
                <w:sz w:val="24"/>
                <w:szCs w:val="24"/>
              </w:rPr>
            </w:pPr>
            <w:r>
              <w:rPr>
                <w:rStyle w:val="23"/>
              </w:rPr>
              <w:t>- ГОСТ 21.405-93 СПДС. Правила выполнения рабочей документации тепловой изоляции оборудования и трубопроводов;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54" w:leader="none"/>
              </w:tabs>
              <w:spacing w:lineRule="auto" w:line="276"/>
              <w:ind w:firstLine="121" w:left="142" w:right="279"/>
              <w:jc w:val="both"/>
              <w:rPr>
                <w:rStyle w:val="23"/>
              </w:rPr>
            </w:pPr>
            <w:r>
              <w:rPr>
                <w:rStyle w:val="23"/>
              </w:rPr>
              <w:t>- ГОСТ 21.705-2016 СПДС. Правила выполнения рабочей документации тепловых сетей (Поправка № 1);</w:t>
            </w:r>
          </w:p>
          <w:p>
            <w:pPr>
              <w:pStyle w:val="Normal"/>
              <w:widowControl w:val="false"/>
              <w:spacing w:lineRule="auto" w:line="276"/>
              <w:ind w:firstLine="121" w:left="142" w:right="27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-ГОСТ Р 21.101-2020 «Система проектной документации для строительства (СПДС). Основные требования к проектной и рабочей документации»;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58" w:leader="none"/>
              </w:tabs>
              <w:spacing w:lineRule="auto" w:line="276"/>
              <w:ind w:firstLine="121" w:left="142" w:right="279"/>
              <w:jc w:val="both"/>
              <w:rPr>
                <w:sz w:val="24"/>
                <w:szCs w:val="24"/>
              </w:rPr>
            </w:pPr>
            <w:r>
              <w:rPr>
                <w:rStyle w:val="23"/>
              </w:rPr>
              <w:t>- СН 531-80 Инструкция о составе, порядке разработки и утверждения схем теплоснабжения населенных пунктов с суммарной тепловой нагрузкой до 116 МВт (1000 Гкал/ч)</w:t>
            </w:r>
            <w:r>
              <w:rPr>
                <w:sz w:val="24"/>
                <w:szCs w:val="24"/>
              </w:rPr>
              <w:t>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80" w:leader="none"/>
              </w:tabs>
              <w:spacing w:lineRule="auto" w:line="276"/>
              <w:ind w:firstLine="121" w:left="142" w:right="279"/>
              <w:jc w:val="both"/>
              <w:rPr>
                <w:sz w:val="24"/>
                <w:szCs w:val="24"/>
              </w:rPr>
            </w:pPr>
            <w:r>
              <w:rPr>
                <w:rStyle w:val="23"/>
              </w:rPr>
              <w:t>- РД 153-34.0-20.518-2003 Типовая инструкция по защите трубопроводов, тепловых сетей от наружной коррозии</w:t>
            </w:r>
            <w:r>
              <w:rPr>
                <w:sz w:val="24"/>
                <w:szCs w:val="24"/>
              </w:rPr>
              <w:t>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80" w:leader="none"/>
              </w:tabs>
              <w:spacing w:lineRule="auto" w:line="276"/>
              <w:ind w:firstLine="121" w:left="142" w:right="279"/>
              <w:jc w:val="both"/>
              <w:rPr>
                <w:sz w:val="24"/>
                <w:szCs w:val="24"/>
              </w:rPr>
            </w:pPr>
            <w:r>
              <w:rPr>
                <w:rStyle w:val="23"/>
              </w:rPr>
              <w:t>- СП 28.13330.2017. Свод правил. Защита строительных конструкций и сооружений от коррозии (Изменение № 1, 2)</w:t>
            </w:r>
            <w:r>
              <w:rPr>
                <w:sz w:val="24"/>
                <w:szCs w:val="24"/>
              </w:rPr>
              <w:t>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9" w:leader="none"/>
              </w:tabs>
              <w:spacing w:lineRule="auto" w:line="276"/>
              <w:ind w:firstLine="121" w:left="142" w:right="279"/>
              <w:jc w:val="both"/>
              <w:rPr>
                <w:rStyle w:val="23"/>
              </w:rPr>
            </w:pPr>
            <w:r>
              <w:rPr>
                <w:rStyle w:val="23"/>
              </w:rPr>
              <w:t>- Федеральный Закон РФ от 27.12.2002 № 184-ФЗ «О техническом регулировании» (*в действующей редакции);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9" w:leader="none"/>
              </w:tabs>
              <w:spacing w:lineRule="auto" w:line="276"/>
              <w:ind w:firstLine="121" w:left="142" w:right="279"/>
              <w:jc w:val="both"/>
              <w:rPr>
                <w:rStyle w:val="23"/>
              </w:rPr>
            </w:pPr>
            <w:r>
              <w:rPr>
                <w:rStyle w:val="23"/>
              </w:rPr>
              <w:t>- Федеральный закон от 10.01.2002 № 7-ФЗ «Об охране окружающей среды» (с изменениями на 2 июля 2021 года);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9" w:leader="none"/>
              </w:tabs>
              <w:spacing w:lineRule="auto" w:line="276"/>
              <w:ind w:firstLine="121" w:left="142" w:right="279"/>
              <w:jc w:val="both"/>
              <w:rPr>
                <w:rStyle w:val="23"/>
              </w:rPr>
            </w:pPr>
            <w:r>
              <w:rPr>
                <w:rStyle w:val="23"/>
              </w:rPr>
              <w:t>- Федеральный закон от 21.12.1994 № 69-ФЗ «О пожарной безопасности» (*в действующей редакции);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9" w:leader="none"/>
              </w:tabs>
              <w:spacing w:lineRule="auto" w:line="276"/>
              <w:ind w:firstLine="121" w:left="142" w:right="279"/>
              <w:jc w:val="both"/>
              <w:rPr>
                <w:rStyle w:val="23"/>
              </w:rPr>
            </w:pPr>
            <w:r>
              <w:rPr>
                <w:rStyle w:val="23"/>
              </w:rPr>
              <w:t>- ГОСТ Р 1.4-2004 Стандартизация в Российской Федерации. Стандарты организации. Общие положения;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9" w:leader="none"/>
              </w:tabs>
              <w:spacing w:lineRule="auto" w:line="276"/>
              <w:ind w:firstLine="121" w:left="142" w:right="279"/>
              <w:jc w:val="both"/>
              <w:rPr>
                <w:sz w:val="24"/>
                <w:szCs w:val="24"/>
              </w:rPr>
            </w:pPr>
            <w:r>
              <w:rPr>
                <w:rStyle w:val="23"/>
              </w:rPr>
              <w:t>- Постановление от 23 июля 2001 года № 80. О принятии строительных норм и правил Российской Федерации «Безопасность труда в строительстве. Часть 1. Общие требования».</w:t>
            </w:r>
            <w:r>
              <w:rPr>
                <w:sz w:val="24"/>
                <w:szCs w:val="24"/>
              </w:rPr>
              <w:t>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9" w:leader="none"/>
              </w:tabs>
              <w:spacing w:lineRule="auto" w:line="276"/>
              <w:ind w:firstLine="121" w:left="142" w:right="279"/>
              <w:jc w:val="both"/>
              <w:rPr>
                <w:sz w:val="24"/>
                <w:szCs w:val="24"/>
              </w:rPr>
            </w:pPr>
            <w:r>
              <w:rPr>
                <w:rStyle w:val="23"/>
              </w:rPr>
              <w:t>- Постановление от 17 сентября 2002 года № 123. О принятии строительных норм и правил Российской Федерации «Безопасность труда в строительстве. Часть 2. Строительное производство»;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9" w:leader="none"/>
              </w:tabs>
              <w:spacing w:lineRule="auto" w:line="276"/>
              <w:ind w:firstLine="121" w:left="142" w:right="279"/>
              <w:jc w:val="both"/>
              <w:rPr>
                <w:rStyle w:val="23"/>
              </w:rPr>
            </w:pPr>
            <w:r>
              <w:rPr>
                <w:rStyle w:val="23"/>
              </w:rPr>
              <w:t>- СП 48.13330.2019. Организация строительства</w:t>
            </w:r>
            <w:r>
              <w:rPr>
                <w:sz w:val="24"/>
                <w:szCs w:val="24"/>
              </w:rPr>
              <w:t>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59" w:leader="none"/>
              </w:tabs>
              <w:spacing w:lineRule="auto" w:line="276"/>
              <w:ind w:firstLine="121" w:left="142" w:right="279"/>
              <w:jc w:val="both"/>
              <w:rPr>
                <w:rStyle w:val="23"/>
              </w:rPr>
            </w:pPr>
            <w:r>
              <w:rPr>
                <w:rStyle w:val="23"/>
              </w:rPr>
              <w:t>- СП 126.13330.2017. Геодезические работы в строительстве.</w:t>
            </w:r>
            <w:r>
              <w:rPr>
                <w:sz w:val="24"/>
                <w:szCs w:val="24"/>
              </w:rPr>
              <w:t>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90" w:leader="none"/>
                <w:tab w:val="left" w:pos="750" w:leader="none"/>
                <w:tab w:val="left" w:pos="954" w:leader="none"/>
              </w:tabs>
              <w:spacing w:lineRule="auto" w:line="276"/>
              <w:ind w:firstLine="121" w:left="142" w:right="279"/>
              <w:jc w:val="both"/>
              <w:rPr>
                <w:rStyle w:val="23"/>
              </w:rPr>
            </w:pPr>
            <w:r>
              <w:rPr>
                <w:rStyle w:val="23"/>
              </w:rPr>
              <w:t>- СанПиН 2.2.1/2.1.1.1200-03 «Санитарно-защитные зоны и санитарная классификация предприятий, сооружений и иных объектов»;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90" w:leader="none"/>
                <w:tab w:val="left" w:pos="750" w:leader="none"/>
                <w:tab w:val="left" w:pos="954" w:leader="none"/>
              </w:tabs>
              <w:spacing w:lineRule="auto" w:line="276"/>
              <w:ind w:firstLine="121" w:left="142" w:right="279"/>
              <w:jc w:val="both"/>
              <w:rPr>
                <w:rStyle w:val="23"/>
              </w:rPr>
            </w:pPr>
            <w:r>
              <w:rPr>
                <w:rStyle w:val="23"/>
              </w:rPr>
              <w:t>- Муниципальные нормы и правила благоустройства территории муниципального образования рабочий поселок (пгт) Прогресс.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46" w:leader="none"/>
                <w:tab w:val="left" w:pos="430" w:leader="none"/>
              </w:tabs>
              <w:spacing w:lineRule="auto" w:line="276"/>
              <w:ind w:firstLine="121" w:left="142" w:right="27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Другие технические регламенты, строительные нормы и правила, федеральные нормы и правила, государственные отраслевые стандарт, стандарты организации и т.д.</w:t>
            </w:r>
          </w:p>
          <w:p>
            <w:pPr>
              <w:pStyle w:val="Normal"/>
              <w:rPr/>
            </w:pPr>
            <w:r>
              <w:rPr>
                <w:sz w:val="24"/>
                <w:szCs w:val="24"/>
              </w:rPr>
              <w:t>Перечень не является исчерпывающим и при применении используются действующие редакции.</w:t>
            </w:r>
          </w:p>
        </w:tc>
      </w:tr>
      <w:tr>
        <w:trPr>
          <w:trHeight w:val="416" w:hRule="atLeast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24"/>
              <w:ind w:left="170"/>
              <w:jc w:val="center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eastAsia="Liberation Serif" w:cs="Liberation Serif" w:ascii="Liberation Serif" w:hAnsi="Liberation Serif"/>
                <w:sz w:val="24"/>
                <w:szCs w:val="22"/>
              </w:rPr>
              <w:t>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00"/>
              <w:ind w:left="142" w:right="82"/>
              <w:rPr>
                <w:rFonts w:ascii="Times New Roman" w:hAnsi="Times New Roman" w:cs="Times New Roman"/>
                <w:sz w:val="24"/>
                <w:szCs w:val="22"/>
                <w:u w:val="none"/>
              </w:rPr>
            </w:pPr>
            <w:r>
              <w:rPr>
                <w:rFonts w:eastAsia="Times New Roman" w:cs="Times New Roman"/>
                <w:sz w:val="24"/>
                <w:szCs w:val="22"/>
                <w:u w:val="none"/>
              </w:rPr>
              <w:t>Требования к конфиденциальности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82" w:leader="none"/>
              </w:tabs>
              <w:spacing w:lineRule="auto" w:line="300"/>
              <w:ind w:firstLine="159"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  <w:t>Подрядчик обязан соблюдать требования, предъявляемые действующим законодательством РФ, локальными нормативными актами и приказами Общества, к работе с документами и сведениями, содержащими конфиденциальную информацию и не разглашать конфиденциальную информацию, ставшую ему известной в процессе выполнения работ.</w:t>
            </w:r>
          </w:p>
        </w:tc>
      </w:tr>
      <w:tr>
        <w:trPr>
          <w:trHeight w:val="416" w:hRule="atLeast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24"/>
              <w:ind w:left="170"/>
              <w:jc w:val="center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eastAsia="Liberation Serif" w:cs="Liberation Serif" w:ascii="Liberation Serif" w:hAnsi="Liberation Serif"/>
                <w:sz w:val="24"/>
                <w:szCs w:val="22"/>
              </w:rPr>
              <w:t>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24"/>
              <w:ind w:left="142" w:right="82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eastAsia="Times New Roman" w:cs="Times New Roman"/>
                <w:sz w:val="24"/>
                <w:szCs w:val="22"/>
              </w:rPr>
              <w:t>Документация, выдаваемая</w:t>
            </w:r>
          </w:p>
          <w:p>
            <w:pPr>
              <w:pStyle w:val="Normal"/>
              <w:spacing w:lineRule="auto" w:line="324"/>
              <w:ind w:left="142" w:right="82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eastAsia="Times New Roman" w:cs="Times New Roman"/>
                <w:sz w:val="24"/>
                <w:szCs w:val="22"/>
              </w:rPr>
              <w:t>заказчику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0"/>
              <w:ind w:firstLine="289" w:left="159" w:right="279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 xml:space="preserve">Три экземпляра в бумажном виде и один экземпляр на электронном носителе (на </w:t>
            </w:r>
            <w:r>
              <w:rPr>
                <w:sz w:val="24"/>
                <w:lang w:val="en-US"/>
              </w:rPr>
              <w:t>USB</w:t>
            </w:r>
            <w:r>
              <w:rPr>
                <w:sz w:val="24"/>
              </w:rPr>
              <w:t>-носителе).</w:t>
            </w:r>
          </w:p>
          <w:p>
            <w:pPr>
              <w:pStyle w:val="Normal"/>
              <w:spacing w:lineRule="auto" w:line="276" w:before="0" w:after="0"/>
              <w:ind w:firstLine="289" w:left="159" w:right="279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Формат передаваемой в электронном виде документации:</w:t>
            </w:r>
          </w:p>
          <w:p>
            <w:pPr>
              <w:pStyle w:val="Normal"/>
              <w:spacing w:lineRule="auto" w:line="276" w:before="0" w:after="0"/>
              <w:ind w:firstLine="289" w:left="159" w:right="279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- текстовая часть – doc, pdf (пояснительная записка и «ПОС» обязательно в pdf и doc) с подписями и печатями на титульных листах;</w:t>
            </w:r>
          </w:p>
          <w:p>
            <w:pPr>
              <w:pStyle w:val="Normal"/>
              <w:spacing w:lineRule="auto" w:line="276" w:before="0" w:after="0"/>
              <w:ind w:firstLine="289" w:left="159" w:right="279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- графическая часть -  dwg или cdw, pdf, tiff;</w:t>
            </w:r>
          </w:p>
          <w:p>
            <w:pPr>
              <w:pStyle w:val="Normal"/>
              <w:spacing w:lineRule="auto" w:line="276" w:before="0" w:after="0"/>
              <w:ind w:firstLine="289" w:left="159" w:right="279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- таблицы данных - doc, pdf, xls;</w:t>
            </w:r>
          </w:p>
          <w:p>
            <w:pPr>
              <w:pStyle w:val="Normal"/>
              <w:spacing w:lineRule="auto" w:line="276"/>
              <w:ind w:firstLine="284" w:left="159" w:right="279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sz w:val="24"/>
              </w:rPr>
              <w:t>- сметную документацию – в формате «ГРАНД-смета» - gsfх ;   xlsх и pdf.</w:t>
            </w:r>
          </w:p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95" w:hRule="atLeast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24"/>
              <w:ind w:left="170"/>
              <w:jc w:val="center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eastAsia="Liberation Serif" w:cs="Liberation Serif" w:ascii="Liberation Serif" w:hAnsi="Liberation Serif"/>
                <w:sz w:val="24"/>
                <w:szCs w:val="22"/>
              </w:rPr>
              <w:t>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24"/>
              <w:ind w:left="142" w:right="82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eastAsia="Times New Roman" w:cs="Times New Roman"/>
                <w:sz w:val="24"/>
                <w:szCs w:val="22"/>
              </w:rPr>
              <w:t>Приложения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324"/>
              <w:ind w:hanging="0" w:left="780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  <w:t>1.1. Схема трассировки тепловой сети Участка №1 (от ТУ59 до участка за проезжей частью ул. Шоссейная).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24"/>
              <w:ind w:hanging="0" w:left="780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  <w:t>1.2. Схема трассировки тепловой сети Участка №2 (от ТУ1 «Механический завод» до компенсатора ТУ2).</w:t>
            </w:r>
          </w:p>
        </w:tc>
      </w:tr>
    </w:tbl>
    <w:p>
      <w:pPr>
        <w:pStyle w:val="Normal"/>
        <w:jc w:val="center"/>
        <w:rPr>
          <w:rFonts w:ascii="Liberation Serif" w:hAnsi="Liberation Serif" w:eastAsia="Liberation Serif" w:cs="Liberation Serif"/>
          <w:b/>
          <w:sz w:val="24"/>
          <w:szCs w:val="22"/>
        </w:rPr>
      </w:pPr>
      <w:r>
        <w:rPr>
          <w:rFonts w:eastAsia="Liberation Serif" w:cs="Liberation Serif" w:ascii="Liberation Serif" w:hAnsi="Liberation Serif"/>
          <w:b/>
          <w:sz w:val="24"/>
          <w:szCs w:val="22"/>
        </w:rPr>
      </w:r>
    </w:p>
    <w:sectPr>
      <w:footerReference w:type="default" r:id="rId2"/>
      <w:type w:val="nextPage"/>
      <w:pgSz w:w="11906" w:h="16838"/>
      <w:pgMar w:left="1083" w:right="1083" w:gutter="0" w:header="0" w:top="850" w:footer="274" w:bottom="425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Symbol">
    <w:charset w:val="01"/>
    <w:family w:val="roman"/>
    <w:pitch w:val="variable"/>
  </w:font>
  <w:font w:name="Courier New">
    <w:charset w:val="01"/>
    <w:family w:val="roman"/>
    <w:pitch w:val="variable"/>
  </w:font>
  <w:font w:name="Wingdings">
    <w:charset w:val="01"/>
    <w:family w:val="roman"/>
    <w:pitch w:val="variable"/>
  </w:font>
  <w:font w:name="Tahoma">
    <w:charset w:val="01"/>
    <w:family w:val="roman"/>
    <w:pitch w:val="variable"/>
  </w:font>
  <w:font w:name="Open Sans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</w:r>
  </w:p>
  <w:p>
    <w:pPr>
      <w:pStyle w:val="Footer"/>
      <w:jc w:val="right"/>
      <w:rPr>
        <w:highlight w:val="none"/>
      </w:rPr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8</w:t>
    </w:r>
    <w:r>
      <w:rPr/>
      <w:fldChar w:fldCharType="end"/>
    </w:r>
  </w:p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decimal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decimal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decimal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suff w:val="nothing"/>
      <w:lvlText w:val="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531" w:hanging="247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6"/>
      <w:numFmt w:val="decimal"/>
      <w:lvlText w:val="%1."/>
      <w:lvlJc w:val="left"/>
      <w:pPr>
        <w:tabs>
          <w:tab w:val="num" w:pos="0"/>
        </w:tabs>
        <w:ind w:left="502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80"/>
  <w:defaultTabStop w:val="708"/>
  <w:autoHyphenation w:val="true"/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ahoma" w:cs="Lohit Devanagari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Heading1">
    <w:name w:val="Heading 1"/>
    <w:basedOn w:val="Normal"/>
    <w:next w:val="Normal"/>
    <w:link w:val="1"/>
    <w:qFormat/>
    <w:pPr>
      <w:keepNext w:val="true"/>
      <w:numPr>
        <w:ilvl w:val="0"/>
        <w:numId w:val="1"/>
      </w:numPr>
      <w:jc w:val="center"/>
      <w:outlineLvl w:val="0"/>
    </w:pPr>
    <w:rPr>
      <w:rFonts w:ascii="Arial" w:hAnsi="Arial"/>
      <w:sz w:val="28"/>
    </w:rPr>
  </w:style>
  <w:style w:type="paragraph" w:styleId="Heading2">
    <w:name w:val="Heading 2"/>
    <w:link w:val="2"/>
    <w:uiPriority w:val="9"/>
    <w:unhideWhenUsed/>
    <w:qFormat/>
    <w:pPr>
      <w:keepNext w:val="true"/>
      <w:keepLines/>
      <w:widowControl/>
      <w:suppressAutoHyphens w:val="true"/>
      <w:bidi w:val="0"/>
      <w:spacing w:before="360" w:after="200"/>
      <w:jc w:val="left"/>
      <w:outlineLvl w:val="1"/>
    </w:pPr>
    <w:rPr>
      <w:rFonts w:ascii="Arial" w:hAnsi="Arial" w:eastAsia="Arial" w:cs="Arial"/>
      <w:color w:val="auto"/>
      <w:kern w:val="0"/>
      <w:sz w:val="34"/>
      <w:szCs w:val="20"/>
      <w:lang w:val="ru-RU" w:eastAsia="zh-CN" w:bidi="ar-SA"/>
    </w:rPr>
  </w:style>
  <w:style w:type="paragraph" w:styleId="Heading3">
    <w:name w:val="Heading 3"/>
    <w:link w:val="3"/>
    <w:uiPriority w:val="9"/>
    <w:unhideWhenUsed/>
    <w:qFormat/>
    <w:pPr>
      <w:keepNext w:val="true"/>
      <w:keepLines/>
      <w:widowControl/>
      <w:suppressAutoHyphens w:val="true"/>
      <w:bidi w:val="0"/>
      <w:spacing w:before="320" w:after="200"/>
      <w:jc w:val="left"/>
      <w:outlineLvl w:val="2"/>
    </w:pPr>
    <w:rPr>
      <w:rFonts w:ascii="Arial" w:hAnsi="Arial" w:eastAsia="Arial" w:cs="Arial"/>
      <w:color w:val="auto"/>
      <w:kern w:val="0"/>
      <w:sz w:val="30"/>
      <w:szCs w:val="30"/>
      <w:lang w:val="ru-RU" w:eastAsia="zh-CN" w:bidi="ar-SA"/>
    </w:rPr>
  </w:style>
  <w:style w:type="paragraph" w:styleId="Heading4">
    <w:name w:val="Heading 4"/>
    <w:link w:val="4"/>
    <w:uiPriority w:val="9"/>
    <w:unhideWhenUsed/>
    <w:qFormat/>
    <w:pPr>
      <w:keepNext w:val="true"/>
      <w:keepLines/>
      <w:widowControl/>
      <w:suppressAutoHyphens w:val="true"/>
      <w:bidi w:val="0"/>
      <w:spacing w:before="320" w:after="200"/>
      <w:jc w:val="left"/>
      <w:outlineLvl w:val="3"/>
    </w:pPr>
    <w:rPr>
      <w:rFonts w:ascii="Arial" w:hAnsi="Arial" w:eastAsia="Arial" w:cs="Arial"/>
      <w:b/>
      <w:bCs/>
      <w:color w:val="auto"/>
      <w:kern w:val="0"/>
      <w:sz w:val="26"/>
      <w:szCs w:val="26"/>
      <w:lang w:val="ru-RU" w:eastAsia="zh-CN" w:bidi="ar-SA"/>
    </w:rPr>
  </w:style>
  <w:style w:type="paragraph" w:styleId="Heading5">
    <w:name w:val="Heading 5"/>
    <w:link w:val="5"/>
    <w:uiPriority w:val="9"/>
    <w:unhideWhenUsed/>
    <w:qFormat/>
    <w:pPr>
      <w:keepNext w:val="true"/>
      <w:keepLines/>
      <w:widowControl/>
      <w:suppressAutoHyphens w:val="true"/>
      <w:bidi w:val="0"/>
      <w:spacing w:before="320" w:after="200"/>
      <w:jc w:val="left"/>
      <w:outlineLvl w:val="4"/>
    </w:pPr>
    <w:rPr>
      <w:rFonts w:ascii="Arial" w:hAnsi="Arial" w:eastAsia="Arial" w:cs="Arial"/>
      <w:b/>
      <w:bCs/>
      <w:color w:val="auto"/>
      <w:kern w:val="0"/>
      <w:sz w:val="24"/>
      <w:szCs w:val="24"/>
      <w:lang w:val="ru-RU" w:eastAsia="zh-CN" w:bidi="ar-SA"/>
    </w:rPr>
  </w:style>
  <w:style w:type="paragraph" w:styleId="Heading6">
    <w:name w:val="Heading 6"/>
    <w:link w:val="6"/>
    <w:uiPriority w:val="9"/>
    <w:unhideWhenUsed/>
    <w:qFormat/>
    <w:pPr>
      <w:keepNext w:val="true"/>
      <w:keepLines/>
      <w:widowControl/>
      <w:suppressAutoHyphens w:val="true"/>
      <w:bidi w:val="0"/>
      <w:spacing w:before="320" w:after="200"/>
      <w:jc w:val="left"/>
      <w:outlineLvl w:val="5"/>
    </w:pPr>
    <w:rPr>
      <w:rFonts w:ascii="Arial" w:hAnsi="Arial" w:eastAsia="Arial" w:cs="Arial"/>
      <w:b/>
      <w:bCs/>
      <w:color w:val="auto"/>
      <w:kern w:val="0"/>
      <w:sz w:val="22"/>
      <w:szCs w:val="22"/>
      <w:lang w:val="ru-RU" w:eastAsia="zh-CN" w:bidi="ar-SA"/>
    </w:rPr>
  </w:style>
  <w:style w:type="paragraph" w:styleId="Heading7">
    <w:name w:val="Heading 7"/>
    <w:link w:val="7"/>
    <w:uiPriority w:val="9"/>
    <w:unhideWhenUsed/>
    <w:qFormat/>
    <w:pPr>
      <w:keepNext w:val="true"/>
      <w:keepLines/>
      <w:widowControl/>
      <w:suppressAutoHyphens w:val="true"/>
      <w:bidi w:val="0"/>
      <w:spacing w:before="320" w:after="200"/>
      <w:jc w:val="left"/>
      <w:outlineLvl w:val="6"/>
    </w:pPr>
    <w:rPr>
      <w:rFonts w:ascii="Arial" w:hAnsi="Arial" w:eastAsia="Arial" w:cs="Arial"/>
      <w:b/>
      <w:bCs/>
      <w:i/>
      <w:iCs/>
      <w:color w:val="auto"/>
      <w:kern w:val="0"/>
      <w:sz w:val="22"/>
      <w:szCs w:val="22"/>
      <w:lang w:val="ru-RU" w:eastAsia="zh-CN" w:bidi="ar-SA"/>
    </w:rPr>
  </w:style>
  <w:style w:type="paragraph" w:styleId="Heading8">
    <w:name w:val="Heading 8"/>
    <w:link w:val="8"/>
    <w:uiPriority w:val="9"/>
    <w:unhideWhenUsed/>
    <w:qFormat/>
    <w:pPr>
      <w:keepNext w:val="true"/>
      <w:keepLines/>
      <w:widowControl/>
      <w:suppressAutoHyphens w:val="true"/>
      <w:bidi w:val="0"/>
      <w:spacing w:before="320" w:after="200"/>
      <w:jc w:val="left"/>
      <w:outlineLvl w:val="7"/>
    </w:pPr>
    <w:rPr>
      <w:rFonts w:ascii="Arial" w:hAnsi="Arial" w:eastAsia="Arial" w:cs="Arial"/>
      <w:i/>
      <w:iCs/>
      <w:color w:val="auto"/>
      <w:kern w:val="0"/>
      <w:sz w:val="22"/>
      <w:szCs w:val="22"/>
      <w:lang w:val="ru-RU" w:eastAsia="zh-CN" w:bidi="ar-SA"/>
    </w:rPr>
  </w:style>
  <w:style w:type="paragraph" w:styleId="Heading9">
    <w:name w:val="Heading 9"/>
    <w:link w:val="9"/>
    <w:uiPriority w:val="9"/>
    <w:unhideWhenUsed/>
    <w:qFormat/>
    <w:pPr>
      <w:keepNext w:val="true"/>
      <w:keepLines/>
      <w:widowControl/>
      <w:suppressAutoHyphens w:val="true"/>
      <w:bidi w:val="0"/>
      <w:spacing w:before="320" w:after="200"/>
      <w:jc w:val="left"/>
      <w:outlineLvl w:val="8"/>
    </w:pPr>
    <w:rPr>
      <w:rFonts w:ascii="Arial" w:hAnsi="Arial" w:eastAsia="Arial" w:cs="Arial"/>
      <w:i/>
      <w:iCs/>
      <w:color w:val="auto"/>
      <w:kern w:val="0"/>
      <w:sz w:val="21"/>
      <w:szCs w:val="21"/>
      <w:lang w:val="ru-RU" w:eastAsia="zh-CN" w:bidi="ar-SA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link w:val="Quote"/>
    <w:uiPriority w:val="29"/>
    <w:qFormat/>
    <w:rPr>
      <w:i/>
    </w:rPr>
  </w:style>
  <w:style w:type="character" w:styleId="IntenseQuoteChar">
    <w:name w:val="Intense Quote Char"/>
    <w:link w:val="IntenseQuote"/>
    <w:uiPriority w:val="30"/>
    <w:qFormat/>
    <w:rPr>
      <w:i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qFormat/>
    <w:rPr>
      <w:rFonts w:ascii="Arial" w:hAnsi="Arial"/>
      <w:sz w:val="28"/>
      <w:lang w:eastAsia="zh-CN"/>
    </w:rPr>
  </w:style>
  <w:style w:type="character" w:styleId="2" w:customStyle="1">
    <w:name w:val="Заголовок 2 Знак"/>
    <w:uiPriority w:val="9"/>
    <w:qFormat/>
    <w:rPr>
      <w:rFonts w:ascii="Arial" w:hAnsi="Arial" w:eastAsia="Arial" w:cs="Arial"/>
      <w:sz w:val="34"/>
    </w:rPr>
  </w:style>
  <w:style w:type="character" w:styleId="3" w:customStyle="1">
    <w:name w:val="Заголовок 3 Знак"/>
    <w:uiPriority w:val="9"/>
    <w:qFormat/>
    <w:rPr>
      <w:rFonts w:ascii="Arial" w:hAnsi="Arial" w:eastAsia="Arial" w:cs="Arial"/>
      <w:sz w:val="30"/>
      <w:szCs w:val="30"/>
    </w:rPr>
  </w:style>
  <w:style w:type="character" w:styleId="4" w:customStyle="1">
    <w:name w:val="Заголовок 4 Знак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5" w:customStyle="1">
    <w:name w:val="Заголовок 5 Знак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" w:customStyle="1">
    <w:name w:val="Заголовок 6 Знак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" w:customStyle="1">
    <w:name w:val="Заголовок 7 Знак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" w:customStyle="1">
    <w:name w:val="Заголовок 8 Знак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" w:customStyle="1">
    <w:name w:val="Заголовок 9 Знак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Style5" w:customStyle="1">
    <w:name w:val="Заголовок Знак"/>
    <w:uiPriority w:val="10"/>
    <w:qFormat/>
    <w:rPr>
      <w:sz w:val="48"/>
      <w:szCs w:val="48"/>
    </w:rPr>
  </w:style>
  <w:style w:type="character" w:styleId="Style6" w:customStyle="1">
    <w:name w:val="Подзаголовок Знак"/>
    <w:uiPriority w:val="11"/>
    <w:qFormat/>
    <w:rPr>
      <w:sz w:val="24"/>
      <w:szCs w:val="24"/>
    </w:rPr>
  </w:style>
  <w:style w:type="character" w:styleId="21" w:customStyle="1">
    <w:name w:val="Цитата 2 Знак"/>
    <w:link w:val="Quote"/>
    <w:uiPriority w:val="29"/>
    <w:qFormat/>
    <w:rPr>
      <w:i/>
    </w:rPr>
  </w:style>
  <w:style w:type="character" w:styleId="Style7" w:customStyle="1">
    <w:name w:val="Выделенная цитата Знак"/>
    <w:link w:val="IntenseQuote"/>
    <w:uiPriority w:val="30"/>
    <w:qFormat/>
    <w:rPr>
      <w:i/>
    </w:rPr>
  </w:style>
  <w:style w:type="character" w:styleId="HeaderChar" w:customStyle="1">
    <w:name w:val="Header Char"/>
    <w:uiPriority w:val="99"/>
    <w:qFormat/>
    <w:rPr/>
  </w:style>
  <w:style w:type="character" w:styleId="FooterChar" w:customStyle="1">
    <w:name w:val="Footer Char"/>
    <w:uiPriority w:val="99"/>
    <w:qFormat/>
    <w:rPr/>
  </w:style>
  <w:style w:type="character" w:styleId="CaptionChar" w:customStyle="1">
    <w:name w:val="Caption Char"/>
    <w:uiPriority w:val="99"/>
    <w:qFormat/>
    <w:rPr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Style8" w:customStyle="1">
    <w:name w:val="Текст сноски Знак"/>
    <w:uiPriority w:val="99"/>
    <w:qFormat/>
    <w:rPr>
      <w:sz w:val="18"/>
    </w:rPr>
  </w:style>
  <w:style w:type="character" w:styleId="Style9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0" w:customStyle="1">
    <w:name w:val="Текст концевой сноски Знак"/>
    <w:uiPriority w:val="99"/>
    <w:qFormat/>
    <w:rPr>
      <w:sz w:val="20"/>
    </w:rPr>
  </w:style>
  <w:style w:type="character" w:styleId="Style1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>
      <w:rFonts w:ascii="Times New Roman" w:hAnsi="Times New Roman"/>
      <w:sz w:val="28"/>
      <w:szCs w:val="28"/>
    </w:rPr>
  </w:style>
  <w:style w:type="character" w:styleId="WW8Num2z1" w:customStyle="1">
    <w:name w:val="WW8Num2z1"/>
    <w:qFormat/>
    <w:rPr>
      <w:rFonts w:ascii="Symbol" w:hAnsi="Symbol"/>
    </w:rPr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WW8Num3z0" w:customStyle="1">
    <w:name w:val="WW8Num3z0"/>
    <w:qFormat/>
    <w:rPr>
      <w:rFonts w:ascii="Times New Roman" w:hAnsi="Times New Roman"/>
      <w:sz w:val="28"/>
      <w:szCs w:val="28"/>
    </w:rPr>
  </w:style>
  <w:style w:type="character" w:styleId="WW8Num4z0" w:customStyle="1">
    <w:name w:val="WW8Num4z0"/>
    <w:qFormat/>
    <w:rPr>
      <w:rFonts w:ascii="Symbol" w:hAnsi="Symbol"/>
    </w:rPr>
  </w:style>
  <w:style w:type="character" w:styleId="WW8Num4z1" w:customStyle="1">
    <w:name w:val="WW8Num4z1"/>
    <w:qFormat/>
    <w:rPr>
      <w:rFonts w:ascii="Courier New" w:hAnsi="Courier New"/>
    </w:rPr>
  </w:style>
  <w:style w:type="character" w:styleId="WW8Num4z2" w:customStyle="1">
    <w:name w:val="WW8Num4z2"/>
    <w:qFormat/>
    <w:rPr>
      <w:rFonts w:ascii="Wingdings" w:hAnsi="Wingdings"/>
    </w:rPr>
  </w:style>
  <w:style w:type="character" w:styleId="11" w:customStyle="1">
    <w:name w:val="Основной шрифт абзаца1"/>
    <w:qFormat/>
    <w:rPr/>
  </w:style>
  <w:style w:type="character" w:styleId="Style12" w:customStyle="1">
    <w:name w:val="Текст выноски Знак"/>
    <w:link w:val="BalloonText"/>
    <w:semiHidden/>
    <w:qFormat/>
    <w:rPr>
      <w:rFonts w:ascii="Tahoma" w:hAnsi="Tahoma"/>
      <w:sz w:val="16"/>
      <w:szCs w:val="16"/>
      <w:lang w:eastAsia="zh-CN"/>
    </w:rPr>
  </w:style>
  <w:style w:type="character" w:styleId="Annotationreference">
    <w:name w:val="annotation reference"/>
    <w:semiHidden/>
    <w:qFormat/>
    <w:rPr>
      <w:sz w:val="16"/>
      <w:szCs w:val="16"/>
    </w:rPr>
  </w:style>
  <w:style w:type="character" w:styleId="Style13" w:customStyle="1">
    <w:name w:val="Текст примечания Знак"/>
    <w:link w:val="Annotationtext"/>
    <w:qFormat/>
    <w:rPr>
      <w:lang w:eastAsia="zh-CN"/>
    </w:rPr>
  </w:style>
  <w:style w:type="character" w:styleId="Style14" w:customStyle="1">
    <w:name w:val="Тема примечания Знак"/>
    <w:link w:val="Annotationsubject"/>
    <w:semiHidden/>
    <w:qFormat/>
    <w:rPr>
      <w:b/>
      <w:bCs/>
      <w:lang w:eastAsia="zh-CN"/>
    </w:rPr>
  </w:style>
  <w:style w:type="character" w:styleId="22" w:customStyle="1">
    <w:name w:val="Основной текст (2)_"/>
    <w:qFormat/>
    <w:rPr>
      <w:rFonts w:ascii="Times New Roman" w:hAnsi="Times New Roman" w:eastAsia="Times New Roman"/>
      <w:u w:val="none"/>
    </w:rPr>
  </w:style>
  <w:style w:type="character" w:styleId="23" w:customStyle="1">
    <w:name w:val="Основной текст (2)"/>
    <w:qFormat/>
    <w:rPr>
      <w:rFonts w:ascii="Times New Roman" w:hAnsi="Times New Roman" w:eastAsia="Times New Roman"/>
      <w:color w:val="000000"/>
      <w:spacing w:val="0"/>
      <w:sz w:val="24"/>
      <w:szCs w:val="24"/>
      <w:u w:val="none"/>
      <w:lang w:val="ru-RU" w:eastAsia="ru-RU" w:bidi="ru-RU"/>
    </w:rPr>
  </w:style>
  <w:style w:type="character" w:styleId="215pt" w:customStyle="1">
    <w:name w:val="Основной текст (2) + 15 pt"/>
    <w:qFormat/>
    <w:rPr>
      <w:rFonts w:ascii="Times New Roman" w:hAnsi="Times New Roman" w:eastAsia="Times New Roman"/>
      <w:color w:val="000000"/>
      <w:spacing w:val="0"/>
      <w:sz w:val="30"/>
      <w:szCs w:val="30"/>
      <w:u w:val="none"/>
      <w:lang w:val="ru-RU" w:eastAsia="ru-RU" w:bidi="ru-RU"/>
    </w:rPr>
  </w:style>
  <w:style w:type="character" w:styleId="Style15" w:customStyle="1">
    <w:name w:val="Верхний колонтитул Знак"/>
    <w:qFormat/>
    <w:rPr>
      <w:sz w:val="24"/>
      <w:szCs w:val="24"/>
      <w:lang w:eastAsia="zh-CN"/>
    </w:rPr>
  </w:style>
  <w:style w:type="character" w:styleId="Style16" w:customStyle="1">
    <w:name w:val="Нижний колонтитул Знак"/>
    <w:qFormat/>
    <w:rPr>
      <w:sz w:val="24"/>
      <w:szCs w:val="24"/>
      <w:lang w:eastAsia="zh-CN"/>
    </w:rPr>
  </w:style>
  <w:style w:type="character" w:styleId="Style17" w:customStyle="1">
    <w:name w:val="Абзац списка Знак"/>
    <w:link w:val="ListParagraph"/>
    <w:uiPriority w:val="34"/>
    <w:qFormat/>
    <w:rPr/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jc w:val="center"/>
    </w:pPr>
    <w:rPr>
      <w:rFonts w:ascii="Arial" w:hAnsi="Arial"/>
    </w:rPr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link w:val="Style17"/>
    <w:uiPriority w:val="34"/>
    <w:qFormat/>
    <w:pPr>
      <w:widowControl/>
      <w:suppressAutoHyphens w:val="true"/>
      <w:bidi w:val="0"/>
      <w:spacing w:before="0" w:after="0"/>
      <w:ind w:left="720"/>
      <w:contextualSpacing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NoSpacing">
    <w:name w:val="No Spacing"/>
    <w:uiPriority w:val="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itle">
    <w:name w:val="Title"/>
    <w:basedOn w:val="Normal"/>
    <w:next w:val="BodyText"/>
    <w:link w:val="Style5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Subtitle">
    <w:name w:val="Subtitle"/>
    <w:link w:val="Style6"/>
    <w:uiPriority w:val="11"/>
    <w:qFormat/>
    <w:pPr>
      <w:widowControl/>
      <w:suppressAutoHyphens w:val="true"/>
      <w:bidi w:val="0"/>
      <w:spacing w:before="200" w:after="200"/>
      <w:jc w:val="left"/>
    </w:pPr>
    <w:rPr>
      <w:rFonts w:ascii="Times New Roman" w:hAnsi="Times New Roman" w:eastAsia="Tahoma" w:cs="Lohit Devanagari"/>
      <w:color w:val="auto"/>
      <w:kern w:val="0"/>
      <w:sz w:val="24"/>
      <w:szCs w:val="24"/>
      <w:lang w:val="ru-RU" w:eastAsia="zh-CN" w:bidi="ar-SA"/>
    </w:rPr>
  </w:style>
  <w:style w:type="paragraph" w:styleId="Quote">
    <w:name w:val="Quote"/>
    <w:link w:val="21"/>
    <w:uiPriority w:val="29"/>
    <w:qFormat/>
    <w:pPr>
      <w:widowControl/>
      <w:suppressAutoHyphens w:val="true"/>
      <w:bidi w:val="0"/>
      <w:spacing w:before="0" w:after="0"/>
      <w:ind w:left="720" w:right="720"/>
      <w:jc w:val="left"/>
    </w:pPr>
    <w:rPr>
      <w:rFonts w:ascii="Times New Roman" w:hAnsi="Times New Roman" w:eastAsia="Tahoma" w:cs="Lohit Devanagari"/>
      <w:i/>
      <w:color w:val="auto"/>
      <w:kern w:val="0"/>
      <w:sz w:val="20"/>
      <w:szCs w:val="20"/>
      <w:lang w:val="ru-RU" w:eastAsia="zh-CN" w:bidi="ar-SA"/>
    </w:rPr>
  </w:style>
  <w:style w:type="paragraph" w:styleId="IntenseQuote">
    <w:name w:val="Intense Quote"/>
    <w:link w:val="Style7"/>
    <w:uiPriority w:val="30"/>
    <w:qFormat/>
    <w:pPr>
      <w:widowControl/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uppressAutoHyphens w:val="true"/>
      <w:bidi w:val="0"/>
      <w:spacing w:before="0" w:after="0"/>
      <w:ind w:left="720" w:right="720"/>
      <w:jc w:val="left"/>
    </w:pPr>
    <w:rPr>
      <w:rFonts w:ascii="Times New Roman" w:hAnsi="Times New Roman" w:eastAsia="Tahoma" w:cs="Lohit Devanagari"/>
      <w:i/>
      <w:color w:val="auto"/>
      <w:kern w:val="0"/>
      <w:sz w:val="20"/>
      <w:szCs w:val="20"/>
      <w:lang w:val="ru-RU" w:eastAsia="zh-CN" w:bidi="ar-SA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noteText">
    <w:name w:val="Footnote Text"/>
    <w:link w:val="Style8"/>
    <w:uiPriority w:val="99"/>
    <w:semiHidden/>
    <w:unhideWhenUsed/>
    <w:pPr>
      <w:widowControl/>
      <w:suppressAutoHyphens w:val="true"/>
      <w:bidi w:val="0"/>
      <w:spacing w:before="0" w:after="40"/>
      <w:jc w:val="left"/>
    </w:pPr>
    <w:rPr>
      <w:rFonts w:ascii="Times New Roman" w:hAnsi="Times New Roman" w:eastAsia="Tahoma" w:cs="Lohit Devanagari"/>
      <w:color w:val="auto"/>
      <w:kern w:val="0"/>
      <w:sz w:val="18"/>
      <w:szCs w:val="20"/>
      <w:lang w:val="ru-RU" w:eastAsia="zh-CN" w:bidi="ar-SA"/>
    </w:rPr>
  </w:style>
  <w:style w:type="paragraph" w:styleId="EndnoteText">
    <w:name w:val="Endnote Text"/>
    <w:link w:val="Style10"/>
    <w:uiPriority w:val="99"/>
    <w:semiHidden/>
    <w:unhideWhenUsed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OC1">
    <w:name w:val="TOC 1"/>
    <w:uiPriority w:val="39"/>
    <w:unhideWhenUsed/>
    <w:pPr>
      <w:widowControl/>
      <w:suppressAutoHyphens w:val="true"/>
      <w:bidi w:val="0"/>
      <w:spacing w:before="0" w:after="57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OC2">
    <w:name w:val="TOC 2"/>
    <w:uiPriority w:val="39"/>
    <w:unhideWhenUsed/>
    <w:pPr>
      <w:widowControl/>
      <w:suppressAutoHyphens w:val="true"/>
      <w:bidi w:val="0"/>
      <w:spacing w:before="0" w:after="57"/>
      <w:ind w:left="283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OC3">
    <w:name w:val="TOC 3"/>
    <w:uiPriority w:val="39"/>
    <w:unhideWhenUsed/>
    <w:pPr>
      <w:widowControl/>
      <w:suppressAutoHyphens w:val="true"/>
      <w:bidi w:val="0"/>
      <w:spacing w:before="0" w:after="57"/>
      <w:ind w:left="567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OC4">
    <w:name w:val="TOC 4"/>
    <w:uiPriority w:val="39"/>
    <w:unhideWhenUsed/>
    <w:pPr>
      <w:widowControl/>
      <w:suppressAutoHyphens w:val="true"/>
      <w:bidi w:val="0"/>
      <w:spacing w:before="0" w:after="57"/>
      <w:ind w:left="850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OC5">
    <w:name w:val="TOC 5"/>
    <w:uiPriority w:val="39"/>
    <w:unhideWhenUsed/>
    <w:pPr>
      <w:widowControl/>
      <w:suppressAutoHyphens w:val="true"/>
      <w:bidi w:val="0"/>
      <w:spacing w:before="0" w:after="57"/>
      <w:ind w:left="1134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OC6">
    <w:name w:val="TOC 6"/>
    <w:uiPriority w:val="39"/>
    <w:unhideWhenUsed/>
    <w:pPr>
      <w:widowControl/>
      <w:suppressAutoHyphens w:val="true"/>
      <w:bidi w:val="0"/>
      <w:spacing w:before="0" w:after="57"/>
      <w:ind w:left="1417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OC7">
    <w:name w:val="TOC 7"/>
    <w:uiPriority w:val="39"/>
    <w:unhideWhenUsed/>
    <w:pPr>
      <w:widowControl/>
      <w:suppressAutoHyphens w:val="true"/>
      <w:bidi w:val="0"/>
      <w:spacing w:before="0" w:after="57"/>
      <w:ind w:left="1701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OC8">
    <w:name w:val="TOC 8"/>
    <w:uiPriority w:val="39"/>
    <w:unhideWhenUsed/>
    <w:pPr>
      <w:widowControl/>
      <w:suppressAutoHyphens w:val="true"/>
      <w:bidi w:val="0"/>
      <w:spacing w:before="0" w:after="57"/>
      <w:ind w:left="1984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OC9">
    <w:name w:val="TOC 9"/>
    <w:uiPriority w:val="39"/>
    <w:unhideWhenUsed/>
    <w:pPr>
      <w:widowControl/>
      <w:suppressAutoHyphens w:val="true"/>
      <w:bidi w:val="0"/>
      <w:spacing w:before="0" w:after="57"/>
      <w:ind w:left="2268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IndexHeading">
    <w:name w:val="Index Heading"/>
    <w:basedOn w:val="Style18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ableofFigures">
    <w:name w:val="Table of Figures"/>
    <w:uiPriority w:val="99"/>
    <w:unhideWhenUsed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12" w:customStyle="1">
    <w:name w:val="Указатель1"/>
    <w:basedOn w:val="Normal"/>
    <w:qFormat/>
    <w:pPr>
      <w:suppressLineNumbers/>
    </w:pPr>
    <w:rPr/>
  </w:style>
  <w:style w:type="paragraph" w:styleId="Style21" w:customStyle="1">
    <w:name w:val="Содержимое таблицы"/>
    <w:basedOn w:val="Normal"/>
    <w:qFormat/>
    <w:pPr>
      <w:suppressLineNumbers/>
    </w:pPr>
    <w:rPr/>
  </w:style>
  <w:style w:type="paragraph" w:styleId="Style22" w:customStyle="1">
    <w:name w:val="Заголовок таблицы"/>
    <w:basedOn w:val="Style21"/>
    <w:qFormat/>
    <w:pPr>
      <w:jc w:val="center"/>
    </w:pPr>
    <w:rPr>
      <w:b/>
      <w:bCs/>
    </w:rPr>
  </w:style>
  <w:style w:type="paragraph" w:styleId="BalloonText">
    <w:name w:val="Balloon Text"/>
    <w:basedOn w:val="Normal"/>
    <w:link w:val="Style12"/>
    <w:semiHidden/>
    <w:qFormat/>
    <w:pPr/>
    <w:rPr>
      <w:rFonts w:ascii="Tahoma" w:hAnsi="Tahoma"/>
      <w:sz w:val="16"/>
      <w:szCs w:val="16"/>
    </w:rPr>
  </w:style>
  <w:style w:type="paragraph" w:styleId="42" w:customStyle="1">
    <w:name w:val="Абзац списка;Алроса_маркер (Уровень 4);Маркер;ПАРАГРАФ;Абзац списка2"/>
    <w:basedOn w:val="Normal"/>
    <w:qFormat/>
    <w:pPr>
      <w:spacing w:before="0" w:after="0"/>
      <w:ind w:left="720"/>
      <w:contextualSpacing/>
    </w:pPr>
    <w:rPr>
      <w:lang w:eastAsia="ru-RU"/>
    </w:rPr>
  </w:style>
  <w:style w:type="paragraph" w:styleId="Annotationtext">
    <w:name w:val="annotation text"/>
    <w:basedOn w:val="Normal"/>
    <w:link w:val="Style13"/>
    <w:qFormat/>
    <w:pPr/>
    <w:rPr/>
  </w:style>
  <w:style w:type="paragraph" w:styleId="Annotationsubject">
    <w:name w:val="annotation subject"/>
    <w:basedOn w:val="Annotationtext"/>
    <w:next w:val="Annotationtext"/>
    <w:link w:val="Style14"/>
    <w:semiHidden/>
    <w:qFormat/>
    <w:pPr/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769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770">
    <w:name w:val="Table Grid"/>
    <w:uiPriority w:val="59"/>
    <w:rPr>
      <w:lang w:eastAsia="zh-C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customStyle="1" w:styleId="771">
    <w:name w:val="Table Grid Light"/>
    <w:uiPriority w:val="59"/>
    <w:rPr>
      <w:lang w:eastAsia="zh-CN"/>
    </w:r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2">
    <w:name w:val="Plain Table 1"/>
    <w:uiPriority w:val="59"/>
    <w:rPr>
      <w:lang w:eastAsia="zh-CN"/>
    </w:r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3">
    <w:name w:val="Plain Table 2"/>
    <w:uiPriority w:val="59"/>
    <w:rPr>
      <w:lang w:eastAsia="zh-CN"/>
    </w:rPr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4">
    <w:name w:val="Plain Table 3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775">
    <w:name w:val="Plain Table 4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776">
    <w:name w:val="Plain Table 5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777">
    <w:name w:val="Grid Table 1 Light"/>
    <w:uiPriority w:val="99"/>
    <w:rPr>
      <w:lang w:eastAsia="zh-CN"/>
    </w:rPr>
    <w:tblPr>
      <w:tblStyleRowBandSize w:val="1"/>
      <w:tblStyleColBandSize w:val="1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78">
    <w:name w:val="Grid Table 1 Light - Accent 1"/>
    <w:uiPriority w:val="99"/>
    <w:rPr>
      <w:lang w:eastAsia="zh-CN"/>
    </w:r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79">
    <w:name w:val="Grid Table 1 Light - Accent 2"/>
    <w:uiPriority w:val="99"/>
    <w:rPr>
      <w:lang w:eastAsia="zh-CN"/>
    </w:r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80">
    <w:name w:val="Grid Table 1 Light - Accent 3"/>
    <w:uiPriority w:val="99"/>
    <w:rPr>
      <w:lang w:eastAsia="zh-CN"/>
    </w:r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81">
    <w:name w:val="Grid Table 1 Light - Accent 4"/>
    <w:uiPriority w:val="99"/>
    <w:rPr>
      <w:lang w:eastAsia="zh-CN"/>
    </w:r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82">
    <w:name w:val="Grid Table 1 Light - Accent 5"/>
    <w:uiPriority w:val="99"/>
    <w:rPr>
      <w:lang w:eastAsia="zh-CN"/>
    </w:r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83">
    <w:name w:val="Grid Table 1 Light - Accent 6"/>
    <w:uiPriority w:val="99"/>
    <w:rPr>
      <w:lang w:eastAsia="zh-CN"/>
    </w:r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>
    <w:name w:val="Grid Table 2"/>
    <w:uiPriority w:val="99"/>
    <w:rPr>
      <w:lang w:eastAsia="zh-CN"/>
    </w:r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85">
    <w:name w:val="Grid Table 2 - Accent 1"/>
    <w:uiPriority w:val="99"/>
    <w:rPr>
      <w:lang w:eastAsia="zh-CN"/>
    </w:r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86">
    <w:name w:val="Grid Table 2 - Accent 2"/>
    <w:uiPriority w:val="99"/>
    <w:rPr>
      <w:lang w:eastAsia="zh-CN"/>
    </w:r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87">
    <w:name w:val="Grid Table 2 - Accent 3"/>
    <w:uiPriority w:val="99"/>
    <w:rPr>
      <w:lang w:eastAsia="zh-CN"/>
    </w:r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88">
    <w:name w:val="Grid Table 2 - Accent 4"/>
    <w:uiPriority w:val="99"/>
    <w:rPr>
      <w:lang w:eastAsia="zh-CN"/>
    </w:r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89">
    <w:name w:val="Grid Table 2 - Accent 5"/>
    <w:uiPriority w:val="99"/>
    <w:rPr>
      <w:lang w:eastAsia="zh-CN"/>
    </w:r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90">
    <w:name w:val="Grid Table 2 - Accent 6"/>
    <w:uiPriority w:val="99"/>
    <w:rPr>
      <w:lang w:eastAsia="zh-CN"/>
    </w:r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>
    <w:name w:val="Grid Table 3"/>
    <w:uiPriority w:val="99"/>
    <w:rPr>
      <w:lang w:eastAsia="zh-CN"/>
    </w:r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92">
    <w:name w:val="Grid Table 3 - Accent 1"/>
    <w:uiPriority w:val="99"/>
    <w:rPr>
      <w:lang w:eastAsia="zh-CN"/>
    </w:r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93">
    <w:name w:val="Grid Table 3 - Accent 2"/>
    <w:uiPriority w:val="99"/>
    <w:rPr>
      <w:lang w:eastAsia="zh-CN"/>
    </w:r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94">
    <w:name w:val="Grid Table 3 - Accent 3"/>
    <w:uiPriority w:val="99"/>
    <w:rPr>
      <w:lang w:eastAsia="zh-CN"/>
    </w:r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95">
    <w:name w:val="Grid Table 3 - Accent 4"/>
    <w:uiPriority w:val="99"/>
    <w:rPr>
      <w:lang w:eastAsia="zh-CN"/>
    </w:r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96">
    <w:name w:val="Grid Table 3 - Accent 5"/>
    <w:uiPriority w:val="99"/>
    <w:rPr>
      <w:lang w:eastAsia="zh-CN"/>
    </w:r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97">
    <w:name w:val="Grid Table 3 - Accent 6"/>
    <w:uiPriority w:val="99"/>
    <w:rPr>
      <w:lang w:eastAsia="zh-CN"/>
    </w:r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>
    <w:name w:val="Grid Table 4"/>
    <w:uiPriority w:val="59"/>
    <w:rPr>
      <w:lang w:eastAsia="zh-CN"/>
    </w:rPr>
    <w:tblPr>
      <w:tblStyleRowBandSize w:val="1"/>
      <w:tblStyleColBandSize w:val="1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99">
    <w:name w:val="Grid Table 4 - Accent 1"/>
    <w:uiPriority w:val="59"/>
    <w:rPr>
      <w:lang w:eastAsia="zh-CN"/>
    </w:r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00">
    <w:name w:val="Grid Table 4 - Accent 2"/>
    <w:uiPriority w:val="59"/>
    <w:rPr>
      <w:lang w:eastAsia="zh-CN"/>
    </w:r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01">
    <w:name w:val="Grid Table 4 - Accent 3"/>
    <w:uiPriority w:val="59"/>
    <w:rPr>
      <w:lang w:eastAsia="zh-CN"/>
    </w:r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02">
    <w:name w:val="Grid Table 4 - Accent 4"/>
    <w:uiPriority w:val="59"/>
    <w:rPr>
      <w:lang w:eastAsia="zh-CN"/>
    </w:r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03">
    <w:name w:val="Grid Table 4 - Accent 5"/>
    <w:uiPriority w:val="59"/>
    <w:rPr>
      <w:lang w:eastAsia="zh-CN"/>
    </w:r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04">
    <w:name w:val="Grid Table 4 - Accent 6"/>
    <w:uiPriority w:val="59"/>
    <w:rPr>
      <w:lang w:eastAsia="zh-CN"/>
    </w:r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>
    <w:name w:val="Grid Table 5 Dark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06">
    <w:name w:val="Grid Table 5 Dark- Accent 1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07">
    <w:name w:val="Grid Table 5 Dark - Accent 2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08">
    <w:name w:val="Grid Table 5 Dark - Accent 3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09">
    <w:name w:val="Grid Table 5 Dark- Accent 4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10">
    <w:name w:val="Grid Table 5 Dark - Accent 5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11">
    <w:name w:val="Grid Table 5 Dark - Accent 6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>
    <w:name w:val="Grid Table 6 Colorful"/>
    <w:uiPriority w:val="99"/>
    <w:rPr>
      <w:lang w:eastAsia="zh-CN"/>
    </w:rPr>
    <w:tblPr>
      <w:tblStyleRowBandSize w:val="1"/>
      <w:tblStyleColBandSize w:val="1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13">
    <w:name w:val="Grid Table 6 Colorful - Accent 1"/>
    <w:uiPriority w:val="99"/>
    <w:rPr>
      <w:lang w:eastAsia="zh-CN"/>
    </w:rPr>
    <w:tblPr>
      <w:tblStyleRowBandSize w:val="1"/>
      <w:tblStyleColBandSize w:val="1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14">
    <w:name w:val="Grid Table 6 Colorful - Accent 2"/>
    <w:uiPriority w:val="99"/>
    <w:rPr>
      <w:lang w:eastAsia="zh-CN"/>
    </w:r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15">
    <w:name w:val="Grid Table 6 Colorful - Accent 3"/>
    <w:uiPriority w:val="99"/>
    <w:rPr>
      <w:lang w:eastAsia="zh-CN"/>
    </w:rPr>
    <w:tblPr>
      <w:tblStyleRowBandSize w:val="1"/>
      <w:tblStyleColBandSize w:val="1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16">
    <w:name w:val="Grid Table 6 Colorful - Accent 4"/>
    <w:uiPriority w:val="99"/>
    <w:rPr>
      <w:lang w:eastAsia="zh-CN"/>
    </w:r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17">
    <w:name w:val="Grid Table 6 Colorful - Accent 5"/>
    <w:uiPriority w:val="99"/>
    <w:rPr>
      <w:lang w:eastAsia="zh-CN"/>
    </w:rPr>
    <w:tblPr>
      <w:tblStyleRowBandSize w:val="1"/>
      <w:tblStyleColBandSize w:val="1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18">
    <w:name w:val="Grid Table 6 Colorful - Accent 6"/>
    <w:uiPriority w:val="99"/>
    <w:rPr>
      <w:lang w:eastAsia="zh-CN"/>
    </w:rPr>
    <w:tblPr>
      <w:tblStyleRowBandSize w:val="1"/>
      <w:tblStyleColBandSize w:val="1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>
    <w:name w:val="Grid Table 7 Colorful"/>
    <w:uiPriority w:val="99"/>
    <w:rPr>
      <w:lang w:eastAsia="zh-CN"/>
    </w:rPr>
    <w:tblPr>
      <w:tblStyleRowBandSize w:val="1"/>
      <w:tblStyleColBandSize w:val="1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20">
    <w:name w:val="Grid Table 7 Colorful - Accent 1"/>
    <w:uiPriority w:val="99"/>
    <w:rPr>
      <w:lang w:eastAsia="zh-CN"/>
    </w:rPr>
    <w:tblPr>
      <w:tblStyleRowBandSize w:val="1"/>
      <w:tblStyleColBandSize w:val="1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21">
    <w:name w:val="Grid Table 7 Colorful - Accent 2"/>
    <w:uiPriority w:val="99"/>
    <w:rPr>
      <w:lang w:eastAsia="zh-CN"/>
    </w:rPr>
    <w:tblPr>
      <w:tblStyleRowBandSize w:val="1"/>
      <w:tblStyleColBandSize w:val="1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22">
    <w:name w:val="Grid Table 7 Colorful - Accent 3"/>
    <w:uiPriority w:val="99"/>
    <w:rPr>
      <w:lang w:eastAsia="zh-CN"/>
    </w:rPr>
    <w:tblPr>
      <w:tblStyleRowBandSize w:val="1"/>
      <w:tblStyleColBandSize w:val="1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23">
    <w:name w:val="Grid Table 7 Colorful - Accent 4"/>
    <w:uiPriority w:val="99"/>
    <w:rPr>
      <w:lang w:eastAsia="zh-CN"/>
    </w:rPr>
    <w:tblPr>
      <w:tblStyleRowBandSize w:val="1"/>
      <w:tblStyleColBandSize w:val="1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24">
    <w:name w:val="Grid Table 7 Colorful - Accent 5"/>
    <w:uiPriority w:val="99"/>
    <w:rPr>
      <w:lang w:eastAsia="zh-CN"/>
    </w:rPr>
    <w:tblPr>
      <w:tblStyleRowBandSize w:val="1"/>
      <w:tblStyleColBandSize w:val="1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25">
    <w:name w:val="Grid Table 7 Colorful - Accent 6"/>
    <w:uiPriority w:val="99"/>
    <w:rPr>
      <w:lang w:eastAsia="zh-CN"/>
    </w:rPr>
    <w:tblPr>
      <w:tblStyleRowBandSize w:val="1"/>
      <w:tblStyleColBandSize w:val="1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>
    <w:name w:val="List Table 1 Light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27">
    <w:name w:val="List Table 1 Light - Accent 1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28">
    <w:name w:val="List Table 1 Light - Accent 2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29">
    <w:name w:val="List Table 1 Light - Accent 3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30">
    <w:name w:val="List Table 1 Light - Accent 4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31">
    <w:name w:val="List Table 1 Light - Accent 5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32">
    <w:name w:val="List Table 1 Light - Accent 6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33">
    <w:name w:val="List Table 2"/>
    <w:uiPriority w:val="99"/>
    <w:rPr>
      <w:lang w:eastAsia="zh-CN"/>
    </w:rPr>
    <w:tblPr>
      <w:tblStyleRowBandSize w:val="1"/>
      <w:tblStyleColBandSize w:val="1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34">
    <w:name w:val="List Table 2 - Accent 1"/>
    <w:uiPriority w:val="99"/>
    <w:rPr>
      <w:lang w:eastAsia="zh-CN"/>
    </w:rPr>
    <w:tblPr>
      <w:tblStyleRowBandSize w:val="1"/>
      <w:tblStyleColBandSize w:val="1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35">
    <w:name w:val="List Table 2 - Accent 2"/>
    <w:uiPriority w:val="99"/>
    <w:rPr>
      <w:lang w:eastAsia="zh-CN"/>
    </w:rPr>
    <w:tblPr>
      <w:tblStyleRowBandSize w:val="1"/>
      <w:tblStyleColBandSize w:val="1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36">
    <w:name w:val="List Table 2 - Accent 3"/>
    <w:uiPriority w:val="99"/>
    <w:rPr>
      <w:lang w:eastAsia="zh-CN"/>
    </w:rPr>
    <w:tblPr>
      <w:tblStyleRowBandSize w:val="1"/>
      <w:tblStyleColBandSize w:val="1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37">
    <w:name w:val="List Table 2 - Accent 4"/>
    <w:uiPriority w:val="99"/>
    <w:rPr>
      <w:lang w:eastAsia="zh-CN"/>
    </w:rPr>
    <w:tblPr>
      <w:tblStyleRowBandSize w:val="1"/>
      <w:tblStyleColBandSize w:val="1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38">
    <w:name w:val="List Table 2 - Accent 5"/>
    <w:uiPriority w:val="99"/>
    <w:rPr>
      <w:lang w:eastAsia="zh-CN"/>
    </w:rPr>
    <w:tblPr>
      <w:tblStyleRowBandSize w:val="1"/>
      <w:tblStyleColBandSize w:val="1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39">
    <w:name w:val="List Table 2 - Accent 6"/>
    <w:uiPriority w:val="99"/>
    <w:rPr>
      <w:lang w:eastAsia="zh-CN"/>
    </w:rPr>
    <w:tblPr>
      <w:tblStyleRowBandSize w:val="1"/>
      <w:tblStyleColBandSize w:val="1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>
    <w:name w:val="List Table 3"/>
    <w:uiPriority w:val="99"/>
    <w:rPr>
      <w:lang w:eastAsia="zh-CN"/>
    </w:r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41">
    <w:name w:val="List Table 3 - Accent 1"/>
    <w:uiPriority w:val="99"/>
    <w:rPr>
      <w:lang w:eastAsia="zh-CN"/>
    </w:rPr>
    <w:tblPr>
      <w:tblStyleRowBandSize w:val="1"/>
      <w:tblStyleColBandSize w:val="1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42">
    <w:name w:val="List Table 3 - Accent 2"/>
    <w:uiPriority w:val="99"/>
    <w:rPr>
      <w:lang w:eastAsia="zh-CN"/>
    </w:r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43">
    <w:name w:val="List Table 3 - Accent 3"/>
    <w:uiPriority w:val="99"/>
    <w:rPr>
      <w:lang w:eastAsia="zh-CN"/>
    </w:rPr>
    <w:tblPr>
      <w:tblStyleRowBandSize w:val="1"/>
      <w:tblStyleColBandSize w:val="1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44">
    <w:name w:val="List Table 3 - Accent 4"/>
    <w:uiPriority w:val="99"/>
    <w:rPr>
      <w:lang w:eastAsia="zh-CN"/>
    </w:r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45">
    <w:name w:val="List Table 3 - Accent 5"/>
    <w:uiPriority w:val="99"/>
    <w:rPr>
      <w:lang w:eastAsia="zh-CN"/>
    </w:rPr>
    <w:tblPr>
      <w:tblStyleRowBandSize w:val="1"/>
      <w:tblStyleColBandSize w:val="1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46">
    <w:name w:val="List Table 3 - Accent 6"/>
    <w:uiPriority w:val="99"/>
    <w:rPr>
      <w:lang w:eastAsia="zh-CN"/>
    </w:rPr>
    <w:tblPr>
      <w:tblStyleRowBandSize w:val="1"/>
      <w:tblStyleColBandSize w:val="1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7">
    <w:name w:val="List Table 4"/>
    <w:uiPriority w:val="99"/>
    <w:rPr>
      <w:lang w:eastAsia="zh-CN"/>
    </w:r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48">
    <w:name w:val="List Table 4 - Accent 1"/>
    <w:uiPriority w:val="99"/>
    <w:rPr>
      <w:lang w:eastAsia="zh-CN"/>
    </w:r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49">
    <w:name w:val="List Table 4 - Accent 2"/>
    <w:uiPriority w:val="99"/>
    <w:rPr>
      <w:lang w:eastAsia="zh-CN"/>
    </w:r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50">
    <w:name w:val="List Table 4 - Accent 3"/>
    <w:uiPriority w:val="99"/>
    <w:rPr>
      <w:lang w:eastAsia="zh-CN"/>
    </w:r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51">
    <w:name w:val="List Table 4 - Accent 4"/>
    <w:uiPriority w:val="99"/>
    <w:rPr>
      <w:lang w:eastAsia="zh-CN"/>
    </w:r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52">
    <w:name w:val="List Table 4 - Accent 5"/>
    <w:uiPriority w:val="99"/>
    <w:rPr>
      <w:lang w:eastAsia="zh-CN"/>
    </w:r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53">
    <w:name w:val="List Table 4 - Accent 6"/>
    <w:uiPriority w:val="99"/>
    <w:rPr>
      <w:lang w:eastAsia="zh-CN"/>
    </w:r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4">
    <w:name w:val="List Table 5 Dark"/>
    <w:uiPriority w:val="99"/>
    <w:rPr>
      <w:lang w:eastAsia="zh-CN"/>
    </w:rPr>
    <w:tblPr>
      <w:tblStyleRowBandSize w:val="1"/>
      <w:tblStyleColBandSize w:val="1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55">
    <w:name w:val="List Table 5 Dark - Accent 1"/>
    <w:uiPriority w:val="99"/>
    <w:rPr>
      <w:lang w:eastAsia="zh-CN"/>
    </w:rPr>
    <w:tblPr>
      <w:tblStyleRowBandSize w:val="1"/>
      <w:tblStyleColBandSize w:val="1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56">
    <w:name w:val="List Table 5 Dark - Accent 2"/>
    <w:uiPriority w:val="99"/>
    <w:rPr>
      <w:lang w:eastAsia="zh-CN"/>
    </w:rPr>
    <w:tblPr>
      <w:tblStyleRowBandSize w:val="1"/>
      <w:tblStyleColBandSize w:val="1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57">
    <w:name w:val="List Table 5 Dark - Accent 3"/>
    <w:uiPriority w:val="99"/>
    <w:rPr>
      <w:lang w:eastAsia="zh-CN"/>
    </w:rPr>
    <w:tblPr>
      <w:tblStyleRowBandSize w:val="1"/>
      <w:tblStyleColBandSize w:val="1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58">
    <w:name w:val="List Table 5 Dark - Accent 4"/>
    <w:uiPriority w:val="99"/>
    <w:rPr>
      <w:lang w:eastAsia="zh-CN"/>
    </w:rPr>
    <w:tblPr>
      <w:tblStyleRowBandSize w:val="1"/>
      <w:tblStyleColBandSize w:val="1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59">
    <w:name w:val="List Table 5 Dark - Accent 5"/>
    <w:uiPriority w:val="99"/>
    <w:rPr>
      <w:lang w:eastAsia="zh-CN"/>
    </w:rPr>
    <w:tblPr>
      <w:tblStyleRowBandSize w:val="1"/>
      <w:tblStyleColBandSize w:val="1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60">
    <w:name w:val="List Table 5 Dark - Accent 6"/>
    <w:uiPriority w:val="99"/>
    <w:rPr>
      <w:lang w:eastAsia="zh-CN"/>
    </w:rPr>
    <w:tblPr>
      <w:tblStyleRowBandSize w:val="1"/>
      <w:tblStyleColBandSize w:val="1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1">
    <w:name w:val="List Table 6 Colorful"/>
    <w:uiPriority w:val="99"/>
    <w:rPr>
      <w:lang w:eastAsia="zh-CN"/>
    </w:r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62">
    <w:name w:val="List Table 6 Colorful - Accent 1"/>
    <w:uiPriority w:val="99"/>
    <w:rPr>
      <w:lang w:eastAsia="zh-CN"/>
    </w:rPr>
    <w:tblPr>
      <w:tblStyleRowBandSize w:val="1"/>
      <w:tblStyleColBandSize w:val="1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63">
    <w:name w:val="List Table 6 Colorful - Accent 2"/>
    <w:uiPriority w:val="99"/>
    <w:rPr>
      <w:lang w:eastAsia="zh-CN"/>
    </w:rPr>
    <w:tblPr>
      <w:tblStyleRowBandSize w:val="1"/>
      <w:tblStyleColBandSize w:val="1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64">
    <w:name w:val="List Table 6 Colorful - Accent 3"/>
    <w:uiPriority w:val="99"/>
    <w:rPr>
      <w:lang w:eastAsia="zh-CN"/>
    </w:rPr>
    <w:tblPr>
      <w:tblStyleRowBandSize w:val="1"/>
      <w:tblStyleColBandSize w:val="1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65">
    <w:name w:val="List Table 6 Colorful - Accent 4"/>
    <w:uiPriority w:val="99"/>
    <w:rPr>
      <w:lang w:eastAsia="zh-CN"/>
    </w:rPr>
    <w:tblPr>
      <w:tblStyleRowBandSize w:val="1"/>
      <w:tblStyleColBandSize w:val="1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66">
    <w:name w:val="List Table 6 Colorful - Accent 5"/>
    <w:uiPriority w:val="99"/>
    <w:rPr>
      <w:lang w:eastAsia="zh-CN"/>
    </w:rPr>
    <w:tblPr>
      <w:tblStyleRowBandSize w:val="1"/>
      <w:tblStyleColBandSize w:val="1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67">
    <w:name w:val="List Table 6 Colorful - Accent 6"/>
    <w:uiPriority w:val="99"/>
    <w:rPr>
      <w:lang w:eastAsia="zh-CN"/>
    </w:rPr>
    <w:tblPr>
      <w:tblStyleRowBandSize w:val="1"/>
      <w:tblStyleColBandSize w:val="1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>
    <w:name w:val="List Table 7 Colorful"/>
    <w:uiPriority w:val="99"/>
    <w:rPr>
      <w:lang w:eastAsia="zh-CN"/>
    </w:rPr>
    <w:tblPr>
      <w:tblStyleRowBandSize w:val="1"/>
      <w:tblStyleColBandSize w:val="1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69">
    <w:name w:val="List Table 7 Colorful - Accent 1"/>
    <w:uiPriority w:val="99"/>
    <w:rPr>
      <w:lang w:eastAsia="zh-CN"/>
    </w:rPr>
    <w:tblPr>
      <w:tblStyleRowBandSize w:val="1"/>
      <w:tblStyleColBandSize w:val="1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70">
    <w:name w:val="List Table 7 Colorful - Accent 2"/>
    <w:uiPriority w:val="99"/>
    <w:rPr>
      <w:lang w:eastAsia="zh-CN"/>
    </w:rPr>
    <w:tblPr>
      <w:tblStyleRowBandSize w:val="1"/>
      <w:tblStyleColBandSize w:val="1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71">
    <w:name w:val="List Table 7 Colorful - Accent 3"/>
    <w:uiPriority w:val="99"/>
    <w:rPr>
      <w:lang w:eastAsia="zh-CN"/>
    </w:rPr>
    <w:tblPr>
      <w:tblStyleRowBandSize w:val="1"/>
      <w:tblStyleColBandSize w:val="1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72">
    <w:name w:val="List Table 7 Colorful - Accent 4"/>
    <w:uiPriority w:val="99"/>
    <w:rPr>
      <w:lang w:eastAsia="zh-CN"/>
    </w:rPr>
    <w:tblPr>
      <w:tblStyleRowBandSize w:val="1"/>
      <w:tblStyleColBandSize w:val="1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73">
    <w:name w:val="List Table 7 Colorful - Accent 5"/>
    <w:uiPriority w:val="99"/>
    <w:rPr>
      <w:lang w:eastAsia="zh-CN"/>
    </w:rPr>
    <w:tblPr>
      <w:tblStyleRowBandSize w:val="1"/>
      <w:tblStyleColBandSize w:val="1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74">
    <w:name w:val="List Table 7 Colorful - Accent 6"/>
    <w:uiPriority w:val="99"/>
    <w:rPr>
      <w:lang w:eastAsia="zh-CN"/>
    </w:rPr>
    <w:tblPr>
      <w:tblStyleRowBandSize w:val="1"/>
      <w:tblStyleColBandSize w:val="1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75">
    <w:name w:val="Lined - Accent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76">
    <w:name w:val="Lined - Accent 1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77">
    <w:name w:val="Lined - Accent 2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78">
    <w:name w:val="Lined - Accent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79">
    <w:name w:val="Lined - Accent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0">
    <w:name w:val="Lined - Accent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1">
    <w:name w:val="Lined - Accent 6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2">
    <w:name w:val="Bordered &amp; Lined - Accent"/>
    <w:uiPriority w:val="99"/>
    <w:tblPr>
      <w:tblStyleRowBandSize w:val="1"/>
      <w:tblStyleColBandSize w:val="1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3">
    <w:name w:val="Bordered &amp; Lined - Accent 1"/>
    <w:uiPriority w:val="99"/>
    <w:tblPr>
      <w:tblStyleRowBandSize w:val="1"/>
      <w:tblStyleColBandSize w:val="1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4">
    <w:name w:val="Bordered &amp; Lined - Accent 2"/>
    <w:uiPriority w:val="99"/>
    <w:tblPr>
      <w:tblStyleRowBandSize w:val="1"/>
      <w:tblStyleColBandSize w:val="1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5">
    <w:name w:val="Bordered &amp; Lined - Accent 3"/>
    <w:uiPriority w:val="99"/>
    <w:tblPr>
      <w:tblStyleRowBandSize w:val="1"/>
      <w:tblStyleColBandSize w:val="1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6">
    <w:name w:val="Bordered &amp; Lined - Accent 4"/>
    <w:uiPriority w:val="99"/>
    <w:tblPr>
      <w:tblStyleRowBandSize w:val="1"/>
      <w:tblStyleColBandSize w:val="1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7">
    <w:name w:val="Bordered &amp; Lined - Accent 5"/>
    <w:uiPriority w:val="99"/>
    <w:tblPr>
      <w:tblStyleRowBandSize w:val="1"/>
      <w:tblStyleColBandSize w:val="1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8">
    <w:name w:val="Bordered &amp; Lined - Accent 6"/>
    <w:uiPriority w:val="99"/>
    <w:tblPr>
      <w:tblStyleRowBandSize w:val="1"/>
      <w:tblStyleColBandSize w:val="1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9">
    <w:name w:val="Bordered"/>
    <w:uiPriority w:val="99"/>
    <w:rPr>
      <w:lang w:eastAsia="zh-CN"/>
    </w:rPr>
    <w:tblPr>
      <w:tblStyleRowBandSize w:val="1"/>
      <w:tblStyleColBandSize w:val="1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90">
    <w:name w:val="Bordered - Accent 1"/>
    <w:uiPriority w:val="99"/>
    <w:rPr>
      <w:lang w:eastAsia="zh-CN"/>
    </w:r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91">
    <w:name w:val="Bordered - Accent 2"/>
    <w:uiPriority w:val="99"/>
    <w:rPr>
      <w:lang w:eastAsia="zh-CN"/>
    </w:r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92">
    <w:name w:val="Bordered - Accent 3"/>
    <w:uiPriority w:val="99"/>
    <w:rPr>
      <w:lang w:eastAsia="zh-CN"/>
    </w:r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93">
    <w:name w:val="Bordered - Accent 4"/>
    <w:uiPriority w:val="99"/>
    <w:rPr>
      <w:lang w:eastAsia="zh-CN"/>
    </w:r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94">
    <w:name w:val="Bordered - Accent 5"/>
    <w:uiPriority w:val="99"/>
    <w:rPr>
      <w:lang w:eastAsia="zh-CN"/>
    </w:r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95">
    <w:name w:val="Bordered - Accent 6"/>
    <w:uiPriority w:val="99"/>
    <w:rPr>
      <w:lang w:eastAsia="zh-CN"/>
    </w:r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xmlns:r="http://schemas.openxmlformats.org/officeDocument/2006/relationships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 pitchFamily="0" charset="1"/>
        <a:ea typeface="Arial" pitchFamily="0" charset="1"/>
        <a:cs typeface="Arial" pitchFamily="0" charset="1"/>
      </a:majorFont>
      <a:minorFont>
        <a:latin typeface="Arial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/>
        <a:ln w="25400"/>
        <a:ln w="38100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8B64732B-8BC5-4046-8FCF-0C59A1E08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Application>LibreOffice/7.6.7.2$Linux_X86_64 LibreOffice_project/60$Build-2</Application>
  <AppVersion>15.0000</AppVersion>
  <Pages>8</Pages>
  <Words>2069</Words>
  <Characters>14866</Characters>
  <CharactersWithSpaces>16934</CharactersWithSpaces>
  <Paragraphs>181</Paragraphs>
  <Company>DVGK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2023-03-21T05:27:00Z</dcterms:created>
  <dc:creator/>
  <dc:description/>
  <dc:language>ru-RU</dc:language>
  <cp:lastModifiedBy/>
  <dcterms:modified xsi:type="dcterms:W3CDTF">2026-03-06T09:47:22Z</dcterms:modified>
  <cp:revision>96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